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D2C" w:rsidRDefault="00825D2C">
      <w:pPr>
        <w:pStyle w:val="Subttulo"/>
        <w:spacing w:line="360" w:lineRule="auto"/>
        <w:jc w:val="center"/>
      </w:pPr>
      <w:r>
        <w:t>DEMONSTRATIVO Nº 1</w:t>
      </w:r>
    </w:p>
    <w:p w:rsidR="00825D2C" w:rsidRDefault="00825D2C">
      <w:pPr>
        <w:pStyle w:val="Subttulo"/>
        <w:spacing w:line="360" w:lineRule="auto"/>
        <w:jc w:val="center"/>
      </w:pPr>
    </w:p>
    <w:p w:rsidR="00825D2C" w:rsidRDefault="00825D2C">
      <w:pPr>
        <w:pStyle w:val="Subttulo"/>
        <w:spacing w:line="360" w:lineRule="auto"/>
        <w:jc w:val="center"/>
      </w:pPr>
      <w:r>
        <w:t>MEMÓRIA DE CÁLCULO DA RECEITA E PREMISSAS UTILIZADAS</w:t>
      </w:r>
    </w:p>
    <w:p w:rsidR="00825D2C" w:rsidRDefault="00825D2C">
      <w:pPr>
        <w:spacing w:line="360" w:lineRule="auto"/>
        <w:jc w:val="both"/>
        <w:rPr>
          <w:rFonts w:ascii="Arial" w:hAnsi="Arial"/>
          <w:b/>
          <w:sz w:val="22"/>
        </w:rPr>
      </w:pPr>
    </w:p>
    <w:p w:rsidR="00825D2C" w:rsidRDefault="00825D2C">
      <w:pPr>
        <w:spacing w:line="360" w:lineRule="auto"/>
        <w:jc w:val="center"/>
        <w:rPr>
          <w:rFonts w:ascii="Arial" w:hAnsi="Arial"/>
          <w:b/>
          <w:sz w:val="22"/>
        </w:rPr>
      </w:pPr>
      <w:r>
        <w:rPr>
          <w:rFonts w:ascii="Arial" w:hAnsi="Arial"/>
          <w:b/>
          <w:sz w:val="22"/>
        </w:rPr>
        <w:t>DISPOSIÇÕES GERAIS</w:t>
      </w:r>
    </w:p>
    <w:p w:rsidR="00825D2C" w:rsidRDefault="00825D2C">
      <w:pPr>
        <w:spacing w:line="360" w:lineRule="auto"/>
        <w:jc w:val="center"/>
        <w:rPr>
          <w:rFonts w:ascii="Arial" w:hAnsi="Arial"/>
          <w:b/>
          <w:sz w:val="16"/>
          <w:szCs w:val="16"/>
        </w:rPr>
      </w:pPr>
    </w:p>
    <w:p w:rsidR="00825D2C" w:rsidRDefault="00825D2C">
      <w:pPr>
        <w:spacing w:line="360" w:lineRule="auto"/>
        <w:jc w:val="both"/>
        <w:rPr>
          <w:rFonts w:ascii="Arial" w:hAnsi="Arial"/>
          <w:sz w:val="22"/>
        </w:rPr>
      </w:pPr>
      <w:r>
        <w:rPr>
          <w:rFonts w:ascii="Arial" w:hAnsi="Arial"/>
          <w:sz w:val="22"/>
        </w:rPr>
        <w:t>Para fins da estimativa das receitas orçamentárias para o exercício</w:t>
      </w:r>
      <w:r w:rsidRPr="009D68FB">
        <w:rPr>
          <w:rFonts w:ascii="Arial" w:hAnsi="Arial"/>
          <w:color w:val="FF0000"/>
          <w:sz w:val="22"/>
        </w:rPr>
        <w:t xml:space="preserve"> </w:t>
      </w:r>
      <w:r w:rsidRPr="005E02D0">
        <w:rPr>
          <w:rFonts w:ascii="Arial" w:hAnsi="Arial"/>
          <w:sz w:val="22"/>
        </w:rPr>
        <w:t>201</w:t>
      </w:r>
      <w:r w:rsidR="0034103F" w:rsidRPr="005E02D0">
        <w:rPr>
          <w:rFonts w:ascii="Arial" w:hAnsi="Arial"/>
          <w:sz w:val="22"/>
        </w:rPr>
        <w:t>7</w:t>
      </w:r>
      <w:r>
        <w:rPr>
          <w:rFonts w:ascii="Arial" w:hAnsi="Arial"/>
          <w:sz w:val="22"/>
        </w:rPr>
        <w:t xml:space="preserve">, </w:t>
      </w:r>
      <w:proofErr w:type="gramStart"/>
      <w:r>
        <w:rPr>
          <w:rFonts w:ascii="Arial" w:hAnsi="Arial"/>
          <w:sz w:val="22"/>
        </w:rPr>
        <w:t>foram</w:t>
      </w:r>
      <w:proofErr w:type="gramEnd"/>
      <w:r>
        <w:rPr>
          <w:rFonts w:ascii="Arial" w:hAnsi="Arial"/>
          <w:sz w:val="22"/>
        </w:rPr>
        <w:t xml:space="preserve"> considerados o comportamento mensal da arrecadação nos três últimos exercícios; o comportamento mensal da arrecadação no primeiro semestre do exercício corrente; as circunstâncias de ordem conjuntural que possam afetar o desempenho de cada fonte de receita; a expectativa para o cenário macroeconômico; e as alterações na legislação, incluindo a renúncia de receita decorrente de concessão ou ampliação de incentivo ou benefício de natureza tributária tais como anistias, remissões, subsídios, créditos presumidos, concessões, isenções em caráter não geral, alterações de alíquota ou modificações de base de cálculo. </w:t>
      </w:r>
    </w:p>
    <w:p w:rsidR="00825D2C" w:rsidRDefault="00825D2C">
      <w:pPr>
        <w:pStyle w:val="Recuodecorpodetexto"/>
        <w:spacing w:line="360" w:lineRule="auto"/>
        <w:rPr>
          <w:color w:val="auto"/>
          <w:sz w:val="10"/>
          <w:szCs w:val="10"/>
        </w:rPr>
      </w:pPr>
    </w:p>
    <w:p w:rsidR="00825D2C" w:rsidRDefault="00825D2C">
      <w:pPr>
        <w:spacing w:line="360" w:lineRule="auto"/>
        <w:jc w:val="both"/>
        <w:rPr>
          <w:rFonts w:ascii="Arial" w:hAnsi="Arial"/>
          <w:sz w:val="22"/>
        </w:rPr>
      </w:pPr>
      <w:r>
        <w:rPr>
          <w:rFonts w:ascii="Arial" w:hAnsi="Arial"/>
          <w:sz w:val="22"/>
        </w:rPr>
        <w:t xml:space="preserve">A expectativa para o cenário macroeconômico utilizada no Projeto de Lei Orçamentária para </w:t>
      </w:r>
      <w:r w:rsidRPr="005E02D0">
        <w:rPr>
          <w:rFonts w:ascii="Arial" w:hAnsi="Arial"/>
          <w:sz w:val="22"/>
        </w:rPr>
        <w:t>201</w:t>
      </w:r>
      <w:r w:rsidR="0074447B" w:rsidRPr="005E02D0">
        <w:rPr>
          <w:rFonts w:ascii="Arial" w:hAnsi="Arial"/>
          <w:sz w:val="22"/>
        </w:rPr>
        <w:t>7</w:t>
      </w:r>
      <w:r>
        <w:rPr>
          <w:rFonts w:ascii="Arial" w:hAnsi="Arial"/>
          <w:sz w:val="22"/>
        </w:rPr>
        <w:t xml:space="preserve"> está demonstrada no quadro a seguir. Esses parâmetros econômicos estão considerados</w:t>
      </w:r>
      <w:r>
        <w:rPr>
          <w:rFonts w:ascii="Arial" w:hAnsi="Arial"/>
          <w:color w:val="FF0000"/>
          <w:sz w:val="22"/>
        </w:rPr>
        <w:t xml:space="preserve"> </w:t>
      </w:r>
      <w:r>
        <w:rPr>
          <w:rFonts w:ascii="Arial" w:hAnsi="Arial"/>
          <w:sz w:val="22"/>
        </w:rPr>
        <w:t xml:space="preserve">no disposto nos anexos deste projeto de lei, que atualiza os anexos de Metas Fiscais e de Riscos Fiscais constantes da </w:t>
      </w:r>
      <w:r w:rsidRPr="005E02D0">
        <w:rPr>
          <w:rFonts w:ascii="Arial" w:hAnsi="Arial"/>
          <w:sz w:val="22"/>
        </w:rPr>
        <w:t xml:space="preserve">Lei N° </w:t>
      </w:r>
      <w:r w:rsidR="009D68FB" w:rsidRPr="005E02D0">
        <w:rPr>
          <w:rFonts w:ascii="Arial" w:hAnsi="Arial"/>
          <w:sz w:val="22"/>
        </w:rPr>
        <w:t>6.088</w:t>
      </w:r>
      <w:r w:rsidRPr="005E02D0">
        <w:rPr>
          <w:rFonts w:ascii="Arial" w:hAnsi="Arial"/>
          <w:sz w:val="22"/>
        </w:rPr>
        <w:t xml:space="preserve"> de </w:t>
      </w:r>
      <w:r w:rsidR="0047734E" w:rsidRPr="005E02D0">
        <w:rPr>
          <w:rFonts w:ascii="Arial" w:hAnsi="Arial"/>
          <w:sz w:val="22"/>
        </w:rPr>
        <w:t>2</w:t>
      </w:r>
      <w:r w:rsidR="009D68FB" w:rsidRPr="005E02D0">
        <w:rPr>
          <w:rFonts w:ascii="Arial" w:hAnsi="Arial"/>
          <w:sz w:val="22"/>
        </w:rPr>
        <w:t>1</w:t>
      </w:r>
      <w:r w:rsidRPr="005E02D0">
        <w:rPr>
          <w:rFonts w:ascii="Arial" w:hAnsi="Arial"/>
          <w:sz w:val="22"/>
        </w:rPr>
        <w:t xml:space="preserve"> de </w:t>
      </w:r>
      <w:r w:rsidR="0047734E" w:rsidRPr="005E02D0">
        <w:rPr>
          <w:rFonts w:ascii="Arial" w:hAnsi="Arial"/>
          <w:sz w:val="22"/>
        </w:rPr>
        <w:t>julho</w:t>
      </w:r>
      <w:r w:rsidRPr="005E02D0">
        <w:rPr>
          <w:rFonts w:ascii="Arial" w:hAnsi="Arial"/>
          <w:sz w:val="22"/>
        </w:rPr>
        <w:t xml:space="preserve"> de 201</w:t>
      </w:r>
      <w:r w:rsidR="009D68FB" w:rsidRPr="005E02D0">
        <w:rPr>
          <w:rFonts w:ascii="Arial" w:hAnsi="Arial"/>
          <w:sz w:val="22"/>
        </w:rPr>
        <w:t>6</w:t>
      </w:r>
      <w:r w:rsidRPr="005E02D0">
        <w:rPr>
          <w:rFonts w:ascii="Arial" w:hAnsi="Arial"/>
          <w:sz w:val="22"/>
        </w:rPr>
        <w:t xml:space="preserve"> - Lei de Diretrizes Orçamentárias para o exercício financeiro de 201</w:t>
      </w:r>
      <w:r w:rsidR="009D68FB" w:rsidRPr="005E02D0">
        <w:rPr>
          <w:rFonts w:ascii="Arial" w:hAnsi="Arial"/>
          <w:sz w:val="22"/>
        </w:rPr>
        <w:t>7</w:t>
      </w:r>
      <w:r>
        <w:rPr>
          <w:rFonts w:ascii="Arial" w:hAnsi="Arial"/>
          <w:sz w:val="22"/>
        </w:rPr>
        <w:t>.</w:t>
      </w:r>
    </w:p>
    <w:p w:rsidR="00825D2C" w:rsidRPr="005E02D0" w:rsidRDefault="00825D2C">
      <w:pPr>
        <w:spacing w:line="360" w:lineRule="auto"/>
        <w:jc w:val="both"/>
        <w:rPr>
          <w:rFonts w:ascii="Arial" w:hAnsi="Arial"/>
          <w:color w:val="FF0000"/>
          <w:sz w:val="10"/>
          <w:szCs w:val="10"/>
        </w:rPr>
      </w:pPr>
    </w:p>
    <w:p w:rsidR="00825D2C" w:rsidRPr="005E02D0" w:rsidRDefault="00825D2C">
      <w:pPr>
        <w:pStyle w:val="Ttulo7"/>
        <w:spacing w:line="360" w:lineRule="auto"/>
        <w:rPr>
          <w:sz w:val="18"/>
          <w:szCs w:val="18"/>
        </w:rPr>
      </w:pPr>
      <w:r w:rsidRPr="005E02D0">
        <w:rPr>
          <w:sz w:val="18"/>
          <w:szCs w:val="18"/>
        </w:rPr>
        <w:t>EXPECTATIVA PARA O CENÁRIO MACROECONÔMICO</w:t>
      </w:r>
    </w:p>
    <w:p w:rsidR="00825D2C" w:rsidRDefault="00825D2C">
      <w:pPr>
        <w:rPr>
          <w:sz w:val="6"/>
          <w:szCs w:val="6"/>
        </w:rPr>
      </w:pPr>
    </w:p>
    <w:p w:rsidR="00825D2C" w:rsidRDefault="009A4D02">
      <w:pPr>
        <w:tabs>
          <w:tab w:val="left" w:pos="6340"/>
        </w:tabs>
        <w:jc w:val="center"/>
      </w:pPr>
      <w:r>
        <w:pict>
          <v:shape id="_x0000_i1025" type="#_x0000_t75" style="width:286.8pt;height:125.4pt">
            <v:imagedata r:id="rId9" o:title=""/>
          </v:shape>
        </w:pict>
      </w:r>
    </w:p>
    <w:p w:rsidR="00825D2C" w:rsidRDefault="00825D2C">
      <w:pPr>
        <w:tabs>
          <w:tab w:val="left" w:pos="6340"/>
        </w:tabs>
        <w:jc w:val="center"/>
        <w:rPr>
          <w:sz w:val="10"/>
          <w:szCs w:val="10"/>
        </w:rPr>
      </w:pPr>
    </w:p>
    <w:p w:rsidR="00825D2C" w:rsidRDefault="00825D2C">
      <w:pPr>
        <w:tabs>
          <w:tab w:val="left" w:pos="6340"/>
        </w:tabs>
        <w:jc w:val="center"/>
        <w:rPr>
          <w:b/>
          <w:sz w:val="16"/>
          <w:szCs w:val="16"/>
        </w:rPr>
      </w:pPr>
    </w:p>
    <w:p w:rsidR="00825D2C" w:rsidRDefault="00825D2C">
      <w:pPr>
        <w:pStyle w:val="Ttulo6"/>
        <w:spacing w:line="360" w:lineRule="auto"/>
        <w:jc w:val="both"/>
        <w:rPr>
          <w:b w:val="0"/>
        </w:rPr>
      </w:pPr>
      <w:r w:rsidRPr="003150F6">
        <w:rPr>
          <w:b w:val="0"/>
        </w:rPr>
        <w:t>A Receita Total para o exercício 201</w:t>
      </w:r>
      <w:r w:rsidR="005E02D0">
        <w:rPr>
          <w:b w:val="0"/>
        </w:rPr>
        <w:t>7</w:t>
      </w:r>
      <w:r w:rsidRPr="003150F6">
        <w:rPr>
          <w:b w:val="0"/>
        </w:rPr>
        <w:t xml:space="preserve"> foi estimada em R$ </w:t>
      </w:r>
      <w:r w:rsidR="005E02D0">
        <w:rPr>
          <w:b w:val="0"/>
        </w:rPr>
        <w:t>29,</w:t>
      </w:r>
      <w:r w:rsidR="002F2574">
        <w:rPr>
          <w:b w:val="0"/>
        </w:rPr>
        <w:t>505</w:t>
      </w:r>
      <w:r w:rsidR="005E02D0" w:rsidRPr="005E02D0">
        <w:rPr>
          <w:b w:val="0"/>
        </w:rPr>
        <w:t xml:space="preserve"> </w:t>
      </w:r>
      <w:r w:rsidRPr="003150F6">
        <w:rPr>
          <w:b w:val="0"/>
        </w:rPr>
        <w:t>bilhões. Sob a ótica das</w:t>
      </w:r>
      <w:r w:rsidRPr="009E4588">
        <w:rPr>
          <w:b w:val="0"/>
        </w:rPr>
        <w:t xml:space="preserve"> categorias econômicas, foram estimados R$ </w:t>
      </w:r>
      <w:r w:rsidR="000B62FF" w:rsidRPr="009E4588">
        <w:rPr>
          <w:b w:val="0"/>
        </w:rPr>
        <w:t>2</w:t>
      </w:r>
      <w:r w:rsidR="003150F6">
        <w:rPr>
          <w:b w:val="0"/>
        </w:rPr>
        <w:t>6</w:t>
      </w:r>
      <w:r w:rsidR="000B62FF" w:rsidRPr="009E4588">
        <w:rPr>
          <w:b w:val="0"/>
        </w:rPr>
        <w:t>,</w:t>
      </w:r>
      <w:r w:rsidR="005E02D0">
        <w:rPr>
          <w:b w:val="0"/>
        </w:rPr>
        <w:t>77</w:t>
      </w:r>
      <w:r w:rsidR="00523169">
        <w:rPr>
          <w:b w:val="0"/>
        </w:rPr>
        <w:t>3</w:t>
      </w:r>
      <w:r w:rsidRPr="009E4588">
        <w:rPr>
          <w:b w:val="0"/>
        </w:rPr>
        <w:t xml:space="preserve"> bilhões para as Receitas Correntes e R$ </w:t>
      </w:r>
      <w:r w:rsidR="005E02D0">
        <w:rPr>
          <w:b w:val="0"/>
        </w:rPr>
        <w:t>2,</w:t>
      </w:r>
      <w:r w:rsidR="00523169">
        <w:rPr>
          <w:b w:val="0"/>
        </w:rPr>
        <w:t>733</w:t>
      </w:r>
      <w:r>
        <w:rPr>
          <w:b w:val="0"/>
        </w:rPr>
        <w:t xml:space="preserve"> bilhões para as Receitas de Capital, que correspondem a </w:t>
      </w:r>
      <w:r w:rsidR="003B3618">
        <w:rPr>
          <w:b w:val="0"/>
        </w:rPr>
        <w:t>90,</w:t>
      </w:r>
      <w:r w:rsidR="00523169">
        <w:rPr>
          <w:b w:val="0"/>
        </w:rPr>
        <w:t>7</w:t>
      </w:r>
      <w:r w:rsidRPr="009E4588">
        <w:rPr>
          <w:b w:val="0"/>
        </w:rPr>
        <w:t xml:space="preserve">% e a </w:t>
      </w:r>
      <w:r w:rsidR="003B3618">
        <w:rPr>
          <w:b w:val="0"/>
        </w:rPr>
        <w:t>9</w:t>
      </w:r>
      <w:r w:rsidR="00916DD8" w:rsidRPr="009E4588">
        <w:rPr>
          <w:b w:val="0"/>
        </w:rPr>
        <w:t>,</w:t>
      </w:r>
      <w:r w:rsidR="00523169">
        <w:rPr>
          <w:b w:val="0"/>
        </w:rPr>
        <w:t>3</w:t>
      </w:r>
      <w:r w:rsidRPr="009E4588">
        <w:rPr>
          <w:b w:val="0"/>
        </w:rPr>
        <w:t>% da Receita</w:t>
      </w:r>
      <w:r>
        <w:rPr>
          <w:b w:val="0"/>
        </w:rPr>
        <w:t xml:space="preserve"> Total, respectivamente. </w:t>
      </w:r>
      <w:r w:rsidRPr="00404DEA">
        <w:rPr>
          <w:b w:val="0"/>
        </w:rPr>
        <w:t xml:space="preserve">Desse total, </w:t>
      </w:r>
      <w:r w:rsidR="00D07D4F" w:rsidRPr="009C4975">
        <w:rPr>
          <w:b w:val="0"/>
        </w:rPr>
        <w:t xml:space="preserve">R$ </w:t>
      </w:r>
      <w:r w:rsidR="00D81B1B" w:rsidRPr="00D81B1B">
        <w:rPr>
          <w:b w:val="0"/>
        </w:rPr>
        <w:t>22,88</w:t>
      </w:r>
      <w:r w:rsidR="00407E76">
        <w:rPr>
          <w:b w:val="0"/>
        </w:rPr>
        <w:t>3</w:t>
      </w:r>
      <w:r w:rsidR="00D07D4F" w:rsidRPr="009C4975">
        <w:rPr>
          <w:b w:val="0"/>
        </w:rPr>
        <w:t xml:space="preserve"> bilhões correspondem ao Orçamento Fiscal e R$ </w:t>
      </w:r>
      <w:r w:rsidR="003150F6" w:rsidRPr="00D81B1B">
        <w:rPr>
          <w:b w:val="0"/>
        </w:rPr>
        <w:t>6</w:t>
      </w:r>
      <w:r w:rsidR="00D07D4F" w:rsidRPr="00D81B1B">
        <w:rPr>
          <w:b w:val="0"/>
        </w:rPr>
        <w:t>,</w:t>
      </w:r>
      <w:r w:rsidR="00523169">
        <w:rPr>
          <w:b w:val="0"/>
        </w:rPr>
        <w:t>62</w:t>
      </w:r>
      <w:r w:rsidR="008C2686">
        <w:rPr>
          <w:b w:val="0"/>
        </w:rPr>
        <w:t>2</w:t>
      </w:r>
      <w:r w:rsidR="00D07D4F" w:rsidRPr="00404DEA">
        <w:rPr>
          <w:b w:val="0"/>
        </w:rPr>
        <w:t xml:space="preserve"> bilhões ao Orçamento da Seguridade Social. </w:t>
      </w:r>
      <w:r w:rsidR="00D07D4F" w:rsidRPr="00C96DBD">
        <w:rPr>
          <w:b w:val="0"/>
        </w:rPr>
        <w:t xml:space="preserve">Sob a ótica das fontes de recursos, foram estimados </w:t>
      </w:r>
      <w:r w:rsidR="009E4588" w:rsidRPr="009E4588">
        <w:rPr>
          <w:b w:val="0"/>
        </w:rPr>
        <w:t xml:space="preserve">R$ </w:t>
      </w:r>
      <w:r w:rsidR="00D77477">
        <w:rPr>
          <w:b w:val="0"/>
        </w:rPr>
        <w:t>24,106</w:t>
      </w:r>
      <w:r w:rsidR="00D07D4F" w:rsidRPr="009E4588">
        <w:rPr>
          <w:b w:val="0"/>
        </w:rPr>
        <w:t xml:space="preserve"> bilhões de recursos do Tesouro e R$ </w:t>
      </w:r>
      <w:r w:rsidR="003150F6">
        <w:rPr>
          <w:b w:val="0"/>
        </w:rPr>
        <w:t>5</w:t>
      </w:r>
      <w:r w:rsidR="00D07D4F" w:rsidRPr="009E4588">
        <w:rPr>
          <w:b w:val="0"/>
        </w:rPr>
        <w:t>,</w:t>
      </w:r>
      <w:r w:rsidR="00D77477">
        <w:rPr>
          <w:b w:val="0"/>
        </w:rPr>
        <w:t>3</w:t>
      </w:r>
      <w:r w:rsidR="005F0855">
        <w:rPr>
          <w:b w:val="0"/>
        </w:rPr>
        <w:t>99</w:t>
      </w:r>
      <w:r w:rsidR="00D07D4F" w:rsidRPr="009E4588">
        <w:rPr>
          <w:b w:val="0"/>
        </w:rPr>
        <w:t xml:space="preserve"> bilhões de recursos</w:t>
      </w:r>
      <w:r w:rsidR="00D07D4F" w:rsidRPr="00C96DBD">
        <w:rPr>
          <w:b w:val="0"/>
        </w:rPr>
        <w:t xml:space="preserve"> </w:t>
      </w:r>
      <w:r w:rsidR="004C6F28">
        <w:rPr>
          <w:b w:val="0"/>
        </w:rPr>
        <w:t xml:space="preserve">de </w:t>
      </w:r>
      <w:r w:rsidRPr="00C96DBD">
        <w:rPr>
          <w:b w:val="0"/>
        </w:rPr>
        <w:t>Outras Fontes.</w:t>
      </w:r>
      <w:r>
        <w:rPr>
          <w:b w:val="0"/>
        </w:rPr>
        <w:t xml:space="preserve"> </w:t>
      </w:r>
    </w:p>
    <w:p w:rsidR="00825D2C" w:rsidRDefault="00825D2C"/>
    <w:p w:rsidR="00825D2C" w:rsidRDefault="00825D2C"/>
    <w:p w:rsidR="00825D2C" w:rsidRDefault="00825D2C"/>
    <w:p w:rsidR="0099101B" w:rsidRDefault="0099101B"/>
    <w:p w:rsidR="00825D2C" w:rsidRDefault="00825D2C">
      <w:pPr>
        <w:jc w:val="center"/>
        <w:rPr>
          <w:rFonts w:ascii="Arial" w:hAnsi="Arial" w:cs="Arial"/>
          <w:b/>
          <w:sz w:val="22"/>
          <w:szCs w:val="22"/>
        </w:rPr>
      </w:pPr>
    </w:p>
    <w:p w:rsidR="00825D2C" w:rsidRDefault="00825D2C">
      <w:pPr>
        <w:jc w:val="center"/>
        <w:rPr>
          <w:rFonts w:ascii="Arial" w:hAnsi="Arial" w:cs="Arial"/>
          <w:b/>
          <w:sz w:val="22"/>
          <w:szCs w:val="22"/>
        </w:rPr>
      </w:pPr>
    </w:p>
    <w:p w:rsidR="00825D2C" w:rsidRDefault="00825D2C">
      <w:pPr>
        <w:jc w:val="center"/>
        <w:rPr>
          <w:rFonts w:ascii="Arial" w:hAnsi="Arial" w:cs="Arial"/>
          <w:b/>
          <w:sz w:val="22"/>
          <w:szCs w:val="22"/>
        </w:rPr>
      </w:pPr>
    </w:p>
    <w:p w:rsidR="00D77477" w:rsidRDefault="00D77477">
      <w:pPr>
        <w:jc w:val="center"/>
        <w:rPr>
          <w:rFonts w:ascii="Arial" w:hAnsi="Arial" w:cs="Arial"/>
          <w:b/>
          <w:sz w:val="22"/>
          <w:szCs w:val="22"/>
        </w:rPr>
      </w:pPr>
    </w:p>
    <w:p w:rsidR="00825D2C" w:rsidRDefault="00825D2C">
      <w:pPr>
        <w:jc w:val="center"/>
        <w:rPr>
          <w:rFonts w:ascii="Arial" w:hAnsi="Arial" w:cs="Arial"/>
          <w:b/>
          <w:sz w:val="22"/>
          <w:szCs w:val="22"/>
        </w:rPr>
      </w:pPr>
      <w:r>
        <w:rPr>
          <w:rFonts w:ascii="Arial" w:hAnsi="Arial" w:cs="Arial"/>
          <w:b/>
          <w:sz w:val="22"/>
          <w:szCs w:val="22"/>
        </w:rPr>
        <w:lastRenderedPageBreak/>
        <w:t>RECURSOS DO TESOURO</w:t>
      </w:r>
    </w:p>
    <w:p w:rsidR="00825D2C" w:rsidRDefault="00825D2C">
      <w:pPr>
        <w:pStyle w:val="Ttulo6"/>
        <w:tabs>
          <w:tab w:val="left" w:pos="1725"/>
        </w:tabs>
        <w:spacing w:line="360" w:lineRule="auto"/>
        <w:jc w:val="both"/>
        <w:rPr>
          <w:b w:val="0"/>
        </w:rPr>
      </w:pPr>
    </w:p>
    <w:p w:rsidR="00825D2C" w:rsidRDefault="00825D2C">
      <w:pPr>
        <w:spacing w:line="360" w:lineRule="auto"/>
        <w:jc w:val="both"/>
        <w:rPr>
          <w:rFonts w:ascii="Arial" w:hAnsi="Arial"/>
          <w:sz w:val="22"/>
        </w:rPr>
      </w:pPr>
      <w:r w:rsidRPr="00AD625E">
        <w:rPr>
          <w:rFonts w:ascii="Arial" w:hAnsi="Arial"/>
          <w:sz w:val="22"/>
        </w:rPr>
        <w:t xml:space="preserve">Os recursos do Tesouro Municipal, estimados em R$ </w:t>
      </w:r>
      <w:r w:rsidR="00A940F3" w:rsidRPr="00A940F3">
        <w:rPr>
          <w:rFonts w:ascii="Arial" w:hAnsi="Arial"/>
          <w:sz w:val="22"/>
        </w:rPr>
        <w:t>24,106</w:t>
      </w:r>
      <w:r w:rsidRPr="00AD625E">
        <w:rPr>
          <w:rFonts w:ascii="Arial" w:hAnsi="Arial"/>
          <w:sz w:val="22"/>
        </w:rPr>
        <w:t xml:space="preserve"> bilhões, compreendem</w:t>
      </w:r>
      <w:r>
        <w:rPr>
          <w:rFonts w:ascii="Arial" w:hAnsi="Arial"/>
          <w:sz w:val="22"/>
        </w:rPr>
        <w:t xml:space="preserve"> Receitas Ordinárias Não Vinculadas, derivadas da arrecadação tributária própria, de transferências de outras esferas de governo e demais recursos próprios de natureza não tributária. Também se classificam neste item, as receitas de recursos próprios vinculados, inclusive Fundos Municipais, sendo destaque:</w:t>
      </w:r>
    </w:p>
    <w:p w:rsidR="00825D2C" w:rsidRDefault="00825D2C">
      <w:pPr>
        <w:pStyle w:val="NmerosN1"/>
        <w:rPr>
          <w:sz w:val="10"/>
          <w:szCs w:val="10"/>
        </w:rPr>
      </w:pPr>
    </w:p>
    <w:p w:rsidR="00925DAE" w:rsidRDefault="00925DAE">
      <w:pPr>
        <w:tabs>
          <w:tab w:val="left" w:pos="426"/>
        </w:tabs>
        <w:spacing w:line="360" w:lineRule="auto"/>
        <w:jc w:val="both"/>
        <w:rPr>
          <w:rFonts w:ascii="Arial" w:hAnsi="Arial"/>
          <w:sz w:val="22"/>
        </w:rPr>
      </w:pPr>
      <w:r w:rsidRPr="00925DAE">
        <w:rPr>
          <w:rFonts w:ascii="Arial" w:hAnsi="Arial"/>
          <w:b/>
          <w:sz w:val="22"/>
        </w:rPr>
        <w:t>Receitas Tributárias</w:t>
      </w:r>
      <w:r w:rsidRPr="00925DAE">
        <w:rPr>
          <w:rFonts w:ascii="Arial" w:hAnsi="Arial"/>
          <w:sz w:val="22"/>
        </w:rPr>
        <w:t xml:space="preserve"> – As Receita Tributárias, </w:t>
      </w:r>
      <w:r w:rsidRPr="00AD625E">
        <w:rPr>
          <w:rFonts w:ascii="Arial" w:hAnsi="Arial"/>
          <w:sz w:val="22"/>
        </w:rPr>
        <w:t xml:space="preserve">estimadas em R$ </w:t>
      </w:r>
      <w:r w:rsidR="008E33AB" w:rsidRPr="008E33AB">
        <w:rPr>
          <w:rFonts w:ascii="Arial" w:hAnsi="Arial"/>
          <w:sz w:val="22"/>
        </w:rPr>
        <w:t>11,042</w:t>
      </w:r>
      <w:r w:rsidR="00A940F3">
        <w:rPr>
          <w:rFonts w:ascii="Arial" w:hAnsi="Arial"/>
          <w:sz w:val="22"/>
        </w:rPr>
        <w:t xml:space="preserve"> </w:t>
      </w:r>
      <w:r w:rsidRPr="00AD625E">
        <w:rPr>
          <w:rFonts w:ascii="Arial" w:hAnsi="Arial"/>
          <w:sz w:val="22"/>
        </w:rPr>
        <w:t>bilhões, compreendem os impostos - ISS, IPTU, ITBI e IRRF - e as taxas pelo exercício do poder de polícia e pela prestação de serviços públic</w:t>
      </w:r>
      <w:r w:rsidR="004F2F36" w:rsidRPr="00AD625E">
        <w:rPr>
          <w:rFonts w:ascii="Arial" w:hAnsi="Arial"/>
          <w:sz w:val="22"/>
        </w:rPr>
        <w:t xml:space="preserve">os de competência do Município. </w:t>
      </w:r>
      <w:r w:rsidRPr="00AD625E">
        <w:rPr>
          <w:rFonts w:ascii="Arial" w:hAnsi="Arial"/>
          <w:sz w:val="22"/>
        </w:rPr>
        <w:t xml:space="preserve">Foram estimados R$ </w:t>
      </w:r>
      <w:r w:rsidR="00003D2C">
        <w:rPr>
          <w:rFonts w:ascii="Arial" w:hAnsi="Arial"/>
          <w:sz w:val="22"/>
        </w:rPr>
        <w:t>6</w:t>
      </w:r>
      <w:r w:rsidRPr="00AD625E">
        <w:rPr>
          <w:rFonts w:ascii="Arial" w:hAnsi="Arial"/>
          <w:sz w:val="22"/>
        </w:rPr>
        <w:t>,</w:t>
      </w:r>
      <w:r w:rsidR="00003D2C">
        <w:rPr>
          <w:rFonts w:ascii="Arial" w:hAnsi="Arial"/>
          <w:sz w:val="22"/>
        </w:rPr>
        <w:t>3</w:t>
      </w:r>
      <w:r w:rsidR="00A940F3">
        <w:rPr>
          <w:rFonts w:ascii="Arial" w:hAnsi="Arial"/>
          <w:sz w:val="22"/>
        </w:rPr>
        <w:t>89</w:t>
      </w:r>
      <w:r w:rsidRPr="00AD625E">
        <w:rPr>
          <w:rFonts w:ascii="Arial" w:hAnsi="Arial"/>
          <w:sz w:val="22"/>
        </w:rPr>
        <w:t xml:space="preserve"> bilhões para o ISS; </w:t>
      </w:r>
      <w:r w:rsidR="00AD625E" w:rsidRPr="00AD625E">
        <w:rPr>
          <w:rFonts w:ascii="Arial" w:hAnsi="Arial"/>
          <w:sz w:val="22"/>
        </w:rPr>
        <w:t xml:space="preserve">R$ </w:t>
      </w:r>
      <w:r w:rsidR="00A940F3" w:rsidRPr="00A940F3">
        <w:rPr>
          <w:rFonts w:ascii="Arial" w:hAnsi="Arial"/>
          <w:sz w:val="22"/>
        </w:rPr>
        <w:t>2,525</w:t>
      </w:r>
      <w:r w:rsidRPr="00AD625E">
        <w:rPr>
          <w:rFonts w:ascii="Arial" w:hAnsi="Arial"/>
          <w:sz w:val="22"/>
        </w:rPr>
        <w:t xml:space="preserve"> bilh</w:t>
      </w:r>
      <w:r w:rsidR="00AD625E" w:rsidRPr="00AD625E">
        <w:rPr>
          <w:rFonts w:ascii="Arial" w:hAnsi="Arial"/>
          <w:sz w:val="22"/>
        </w:rPr>
        <w:t>ões</w:t>
      </w:r>
      <w:r w:rsidRPr="00AD625E">
        <w:rPr>
          <w:rFonts w:ascii="Arial" w:hAnsi="Arial"/>
          <w:sz w:val="22"/>
        </w:rPr>
        <w:t xml:space="preserve"> para o IPTU; R$ </w:t>
      </w:r>
      <w:r w:rsidR="00A940F3" w:rsidRPr="00A940F3">
        <w:rPr>
          <w:rFonts w:ascii="Arial" w:hAnsi="Arial"/>
          <w:sz w:val="22"/>
        </w:rPr>
        <w:t>645,4</w:t>
      </w:r>
      <w:r w:rsidRPr="00AD625E">
        <w:rPr>
          <w:rFonts w:ascii="Arial" w:hAnsi="Arial"/>
          <w:sz w:val="22"/>
        </w:rPr>
        <w:t xml:space="preserve"> milhões para o ITBI; R$ </w:t>
      </w:r>
      <w:r w:rsidR="00A940F3" w:rsidRPr="00A940F3">
        <w:rPr>
          <w:rFonts w:ascii="Arial" w:hAnsi="Arial"/>
          <w:sz w:val="22"/>
        </w:rPr>
        <w:t>981,8</w:t>
      </w:r>
      <w:r w:rsidR="00A940F3">
        <w:rPr>
          <w:rFonts w:ascii="Arial" w:hAnsi="Arial"/>
          <w:sz w:val="22"/>
        </w:rPr>
        <w:t xml:space="preserve"> </w:t>
      </w:r>
      <w:r w:rsidR="00DC4CE9" w:rsidRPr="00AD625E">
        <w:rPr>
          <w:rFonts w:ascii="Arial" w:hAnsi="Arial"/>
          <w:sz w:val="22"/>
        </w:rPr>
        <w:t>milhões</w:t>
      </w:r>
      <w:r w:rsidRPr="00AD625E">
        <w:rPr>
          <w:rFonts w:ascii="Arial" w:hAnsi="Arial"/>
          <w:sz w:val="22"/>
        </w:rPr>
        <w:t xml:space="preserve"> para o IRRF,</w:t>
      </w:r>
      <w:proofErr w:type="gramStart"/>
      <w:r w:rsidRPr="00AD625E">
        <w:rPr>
          <w:rFonts w:ascii="Arial" w:hAnsi="Arial"/>
          <w:sz w:val="22"/>
        </w:rPr>
        <w:t xml:space="preserve"> </w:t>
      </w:r>
      <w:r w:rsidR="00ED0160" w:rsidRPr="00AD625E">
        <w:rPr>
          <w:rFonts w:ascii="Arial" w:hAnsi="Arial"/>
          <w:sz w:val="22"/>
        </w:rPr>
        <w:t xml:space="preserve"> </w:t>
      </w:r>
      <w:proofErr w:type="gramEnd"/>
      <w:r w:rsidRPr="00AD625E">
        <w:rPr>
          <w:rFonts w:ascii="Arial" w:hAnsi="Arial"/>
          <w:sz w:val="22"/>
        </w:rPr>
        <w:t>R$</w:t>
      </w:r>
      <w:r w:rsidR="00587AAD" w:rsidRPr="00AD625E">
        <w:rPr>
          <w:rFonts w:ascii="Arial" w:hAnsi="Arial"/>
          <w:sz w:val="22"/>
        </w:rPr>
        <w:t> </w:t>
      </w:r>
      <w:r w:rsidR="00A940F3" w:rsidRPr="00A940F3">
        <w:rPr>
          <w:rFonts w:ascii="Arial" w:hAnsi="Arial"/>
          <w:sz w:val="22"/>
        </w:rPr>
        <w:t>383,7</w:t>
      </w:r>
      <w:r w:rsidRPr="00AD625E">
        <w:rPr>
          <w:rFonts w:ascii="Arial" w:hAnsi="Arial"/>
          <w:sz w:val="22"/>
        </w:rPr>
        <w:t xml:space="preserve"> milhões para a Taxa de Coleta Domiciliar de Lixo</w:t>
      </w:r>
      <w:r w:rsidR="004F2F36" w:rsidRPr="00AD625E">
        <w:rPr>
          <w:rFonts w:ascii="Arial" w:hAnsi="Arial"/>
          <w:sz w:val="22"/>
        </w:rPr>
        <w:t xml:space="preserve"> e R$ </w:t>
      </w:r>
      <w:r w:rsidR="00A940F3" w:rsidRPr="00A940F3">
        <w:rPr>
          <w:rFonts w:ascii="Arial" w:hAnsi="Arial"/>
          <w:sz w:val="22"/>
        </w:rPr>
        <w:t>116,9</w:t>
      </w:r>
      <w:r w:rsidR="004F2F36" w:rsidRPr="00AD625E">
        <w:rPr>
          <w:rFonts w:ascii="Arial" w:hAnsi="Arial"/>
          <w:sz w:val="22"/>
        </w:rPr>
        <w:t xml:space="preserve"> milhões para as</w:t>
      </w:r>
      <w:r w:rsidR="004F2F36" w:rsidRPr="00925DAE">
        <w:rPr>
          <w:rFonts w:ascii="Arial" w:hAnsi="Arial"/>
          <w:sz w:val="22"/>
        </w:rPr>
        <w:t xml:space="preserve"> </w:t>
      </w:r>
      <w:r w:rsidR="004F2F36">
        <w:rPr>
          <w:rFonts w:ascii="Arial" w:hAnsi="Arial"/>
          <w:sz w:val="22"/>
        </w:rPr>
        <w:t xml:space="preserve">outras </w:t>
      </w:r>
      <w:r w:rsidR="004F2F36" w:rsidRPr="00925DAE">
        <w:rPr>
          <w:rFonts w:ascii="Arial" w:hAnsi="Arial"/>
          <w:sz w:val="22"/>
        </w:rPr>
        <w:t>taxas</w:t>
      </w:r>
      <w:r w:rsidRPr="00925DAE">
        <w:rPr>
          <w:rFonts w:ascii="Arial" w:hAnsi="Arial"/>
          <w:sz w:val="22"/>
        </w:rPr>
        <w:t>.</w:t>
      </w:r>
    </w:p>
    <w:p w:rsidR="005B2F04" w:rsidRPr="005B2F04" w:rsidRDefault="005B2F04">
      <w:pPr>
        <w:tabs>
          <w:tab w:val="left" w:pos="426"/>
        </w:tabs>
        <w:spacing w:line="360" w:lineRule="auto"/>
        <w:jc w:val="both"/>
        <w:rPr>
          <w:rFonts w:ascii="Arial" w:hAnsi="Arial"/>
          <w:sz w:val="10"/>
          <w:szCs w:val="10"/>
        </w:rPr>
      </w:pPr>
    </w:p>
    <w:p w:rsidR="005B2F04" w:rsidRPr="00925DAE" w:rsidRDefault="005B2F04">
      <w:pPr>
        <w:tabs>
          <w:tab w:val="left" w:pos="426"/>
        </w:tabs>
        <w:spacing w:line="360" w:lineRule="auto"/>
        <w:jc w:val="both"/>
        <w:rPr>
          <w:rFonts w:ascii="Arial" w:hAnsi="Arial"/>
          <w:sz w:val="22"/>
        </w:rPr>
      </w:pPr>
      <w:r>
        <w:rPr>
          <w:rFonts w:ascii="Arial" w:hAnsi="Arial"/>
          <w:b/>
          <w:sz w:val="22"/>
        </w:rPr>
        <w:t>Receitas de Contribuições</w:t>
      </w:r>
      <w:r>
        <w:rPr>
          <w:rFonts w:ascii="Arial" w:hAnsi="Arial"/>
          <w:sz w:val="22"/>
        </w:rPr>
        <w:t xml:space="preserve"> </w:t>
      </w:r>
      <w:r>
        <w:t xml:space="preserve">– </w:t>
      </w:r>
      <w:r>
        <w:rPr>
          <w:rFonts w:ascii="Arial" w:hAnsi="Arial"/>
          <w:sz w:val="22"/>
        </w:rPr>
        <w:t xml:space="preserve">Essas receitas, estimadas pela área tributária </w:t>
      </w:r>
      <w:r w:rsidRPr="00BC77C8">
        <w:rPr>
          <w:rFonts w:ascii="Arial" w:hAnsi="Arial"/>
          <w:sz w:val="22"/>
        </w:rPr>
        <w:t xml:space="preserve">em R$ </w:t>
      </w:r>
      <w:r w:rsidR="00E751CA" w:rsidRPr="00E751CA">
        <w:rPr>
          <w:rFonts w:ascii="Arial" w:hAnsi="Arial"/>
          <w:sz w:val="22"/>
        </w:rPr>
        <w:t>267,9</w:t>
      </w:r>
      <w:r w:rsidRPr="00BC77C8">
        <w:rPr>
          <w:rFonts w:ascii="Arial" w:hAnsi="Arial"/>
          <w:sz w:val="22"/>
        </w:rPr>
        <w:t xml:space="preserve"> milhões,</w:t>
      </w:r>
      <w:r>
        <w:rPr>
          <w:rFonts w:ascii="Arial" w:hAnsi="Arial"/>
          <w:sz w:val="22"/>
        </w:rPr>
        <w:t xml:space="preserve"> referem-se à Contribuição para o Custeio da Iluminação Pública – COSIP </w:t>
      </w:r>
      <w:r w:rsidRPr="005B2F04">
        <w:rPr>
          <w:rFonts w:ascii="Arial" w:hAnsi="Arial"/>
          <w:sz w:val="22"/>
        </w:rPr>
        <w:t>in</w:t>
      </w:r>
      <w:r w:rsidR="00C06497">
        <w:rPr>
          <w:rFonts w:ascii="Arial" w:hAnsi="Arial"/>
          <w:sz w:val="22"/>
        </w:rPr>
        <w:t>stituída pela Lei Nº 5.132 de 17</w:t>
      </w:r>
      <w:r w:rsidRPr="005B2F04">
        <w:rPr>
          <w:rFonts w:ascii="Arial" w:hAnsi="Arial"/>
          <w:sz w:val="22"/>
        </w:rPr>
        <w:t xml:space="preserve"> de dezembro de 2009</w:t>
      </w:r>
      <w:r>
        <w:rPr>
          <w:rFonts w:ascii="Arial" w:hAnsi="Arial"/>
          <w:sz w:val="22"/>
        </w:rPr>
        <w:t>.</w:t>
      </w:r>
    </w:p>
    <w:p w:rsidR="00925DAE" w:rsidRPr="00925DAE" w:rsidRDefault="00925DAE">
      <w:pPr>
        <w:tabs>
          <w:tab w:val="left" w:pos="426"/>
        </w:tabs>
        <w:spacing w:line="360" w:lineRule="auto"/>
        <w:jc w:val="both"/>
        <w:rPr>
          <w:rFonts w:ascii="Arial" w:hAnsi="Arial"/>
          <w:b/>
          <w:sz w:val="10"/>
          <w:szCs w:val="10"/>
        </w:rPr>
      </w:pPr>
    </w:p>
    <w:p w:rsidR="00825D2C" w:rsidRPr="004E5075" w:rsidRDefault="00825D2C">
      <w:pPr>
        <w:tabs>
          <w:tab w:val="left" w:pos="426"/>
        </w:tabs>
        <w:spacing w:line="360" w:lineRule="auto"/>
        <w:jc w:val="both"/>
        <w:rPr>
          <w:rFonts w:ascii="Arial" w:hAnsi="Arial"/>
          <w:b/>
          <w:sz w:val="22"/>
        </w:rPr>
      </w:pPr>
      <w:r w:rsidRPr="004E5075">
        <w:rPr>
          <w:rFonts w:ascii="Arial" w:hAnsi="Arial"/>
          <w:b/>
          <w:sz w:val="22"/>
        </w:rPr>
        <w:t>Receitas Patrimoniais</w:t>
      </w:r>
      <w:r w:rsidRPr="004E5075">
        <w:rPr>
          <w:rFonts w:ascii="Arial" w:hAnsi="Arial"/>
          <w:sz w:val="22"/>
        </w:rPr>
        <w:t xml:space="preserve"> – As Receitas Patrimoniais dos recursos do Tesouro estão estimadas em </w:t>
      </w:r>
      <w:proofErr w:type="gramStart"/>
      <w:r w:rsidRPr="0093316D">
        <w:rPr>
          <w:rFonts w:ascii="Arial" w:hAnsi="Arial"/>
          <w:sz w:val="22"/>
        </w:rPr>
        <w:t>R$</w:t>
      </w:r>
      <w:r w:rsidR="00587AAD" w:rsidRPr="0093316D">
        <w:rPr>
          <w:rFonts w:ascii="Arial" w:hAnsi="Arial"/>
          <w:sz w:val="22"/>
        </w:rPr>
        <w:t> </w:t>
      </w:r>
      <w:r w:rsidR="00E751CA" w:rsidRPr="00E751CA">
        <w:rPr>
          <w:rFonts w:ascii="Arial" w:hAnsi="Arial"/>
          <w:sz w:val="22"/>
        </w:rPr>
        <w:t>905,9</w:t>
      </w:r>
      <w:r w:rsidRPr="0093316D">
        <w:rPr>
          <w:rFonts w:ascii="Arial" w:hAnsi="Arial"/>
          <w:sz w:val="22"/>
        </w:rPr>
        <w:t xml:space="preserve"> </w:t>
      </w:r>
      <w:r w:rsidR="00E751CA">
        <w:rPr>
          <w:rFonts w:ascii="Arial" w:hAnsi="Arial"/>
          <w:sz w:val="22"/>
        </w:rPr>
        <w:t>m</w:t>
      </w:r>
      <w:r w:rsidR="00587AAD" w:rsidRPr="0093316D">
        <w:rPr>
          <w:rFonts w:ascii="Arial" w:hAnsi="Arial"/>
          <w:sz w:val="22"/>
        </w:rPr>
        <w:t>ilhão</w:t>
      </w:r>
      <w:proofErr w:type="gramEnd"/>
      <w:r w:rsidR="00177A04" w:rsidRPr="0093316D">
        <w:rPr>
          <w:rFonts w:ascii="Arial" w:hAnsi="Arial"/>
          <w:sz w:val="22"/>
        </w:rPr>
        <w:t>.</w:t>
      </w:r>
      <w:r w:rsidR="00177A04" w:rsidRPr="004E5075">
        <w:rPr>
          <w:rFonts w:ascii="Arial" w:hAnsi="Arial"/>
          <w:sz w:val="22"/>
        </w:rPr>
        <w:t xml:space="preserve"> </w:t>
      </w:r>
      <w:r w:rsidR="00501599" w:rsidRPr="004E5075">
        <w:rPr>
          <w:rFonts w:ascii="Arial" w:hAnsi="Arial"/>
          <w:sz w:val="22"/>
        </w:rPr>
        <w:t>Deste montante, R</w:t>
      </w:r>
      <w:r w:rsidR="00501599" w:rsidRPr="0093316D">
        <w:rPr>
          <w:rFonts w:ascii="Arial" w:hAnsi="Arial"/>
          <w:sz w:val="22"/>
        </w:rPr>
        <w:t xml:space="preserve">$ </w:t>
      </w:r>
      <w:r w:rsidR="00E751CA" w:rsidRPr="00E751CA">
        <w:rPr>
          <w:rFonts w:ascii="Arial" w:hAnsi="Arial"/>
          <w:sz w:val="22"/>
        </w:rPr>
        <w:t>573,3</w:t>
      </w:r>
      <w:r w:rsidR="00501599" w:rsidRPr="0093316D">
        <w:rPr>
          <w:rFonts w:ascii="Arial" w:hAnsi="Arial"/>
          <w:sz w:val="22"/>
        </w:rPr>
        <w:t xml:space="preserve"> milhões</w:t>
      </w:r>
      <w:r w:rsidR="00177A04" w:rsidRPr="0093316D">
        <w:rPr>
          <w:rFonts w:ascii="Arial" w:hAnsi="Arial"/>
          <w:sz w:val="22"/>
        </w:rPr>
        <w:t xml:space="preserve"> refere</w:t>
      </w:r>
      <w:r w:rsidR="00F6568E" w:rsidRPr="0093316D">
        <w:rPr>
          <w:rFonts w:ascii="Arial" w:hAnsi="Arial"/>
          <w:sz w:val="22"/>
        </w:rPr>
        <w:t>m</w:t>
      </w:r>
      <w:r w:rsidR="00F6568E" w:rsidRPr="004E5075">
        <w:rPr>
          <w:rFonts w:ascii="Arial" w:hAnsi="Arial"/>
          <w:sz w:val="22"/>
        </w:rPr>
        <w:t>-se</w:t>
      </w:r>
      <w:r w:rsidR="00177A04" w:rsidRPr="004E5075">
        <w:rPr>
          <w:rFonts w:ascii="Arial" w:hAnsi="Arial"/>
          <w:sz w:val="22"/>
        </w:rPr>
        <w:t xml:space="preserve"> a receitas </w:t>
      </w:r>
      <w:r w:rsidRPr="004E5075">
        <w:rPr>
          <w:rFonts w:ascii="Arial" w:hAnsi="Arial"/>
          <w:sz w:val="22"/>
        </w:rPr>
        <w:t xml:space="preserve">de </w:t>
      </w:r>
      <w:r w:rsidR="00177A04" w:rsidRPr="004E5075">
        <w:rPr>
          <w:rFonts w:ascii="Arial" w:hAnsi="Arial"/>
          <w:sz w:val="22"/>
        </w:rPr>
        <w:t xml:space="preserve">valores mobiliários, </w:t>
      </w:r>
      <w:r w:rsidRPr="004E5075">
        <w:rPr>
          <w:rFonts w:ascii="Arial" w:hAnsi="Arial"/>
          <w:sz w:val="22"/>
        </w:rPr>
        <w:t xml:space="preserve">tomando por base o fluxo de caixa projetado para o exercício de </w:t>
      </w:r>
      <w:r w:rsidRPr="00E5034D">
        <w:rPr>
          <w:rFonts w:ascii="Arial" w:hAnsi="Arial"/>
          <w:sz w:val="22"/>
        </w:rPr>
        <w:t>201</w:t>
      </w:r>
      <w:r w:rsidR="00E751CA">
        <w:rPr>
          <w:rFonts w:ascii="Arial" w:hAnsi="Arial"/>
          <w:sz w:val="22"/>
        </w:rPr>
        <w:t>7</w:t>
      </w:r>
      <w:r w:rsidRPr="00DB72A7">
        <w:rPr>
          <w:rFonts w:ascii="Arial" w:hAnsi="Arial"/>
          <w:sz w:val="22"/>
        </w:rPr>
        <w:t>,</w:t>
      </w:r>
      <w:r w:rsidRPr="004E5075">
        <w:rPr>
          <w:rFonts w:ascii="Arial" w:hAnsi="Arial"/>
          <w:sz w:val="22"/>
        </w:rPr>
        <w:t xml:space="preserve"> bem como a taxa média de juros para 201</w:t>
      </w:r>
      <w:r w:rsidR="00E751CA">
        <w:rPr>
          <w:rFonts w:ascii="Arial" w:hAnsi="Arial"/>
          <w:sz w:val="22"/>
        </w:rPr>
        <w:t>7</w:t>
      </w:r>
      <w:r w:rsidR="00501599" w:rsidRPr="004E5075">
        <w:rPr>
          <w:rFonts w:ascii="Arial" w:hAnsi="Arial"/>
          <w:sz w:val="22"/>
        </w:rPr>
        <w:t>. O restante das receitas patrimoniais</w:t>
      </w:r>
      <w:r w:rsidR="00DB72A7">
        <w:rPr>
          <w:rFonts w:ascii="Arial" w:hAnsi="Arial"/>
          <w:sz w:val="22"/>
        </w:rPr>
        <w:t xml:space="preserve">, estimadas em R$ </w:t>
      </w:r>
      <w:r w:rsidR="00C8161B" w:rsidRPr="00C8161B">
        <w:rPr>
          <w:rFonts w:ascii="Arial" w:hAnsi="Arial"/>
          <w:sz w:val="22"/>
        </w:rPr>
        <w:t>332,7</w:t>
      </w:r>
      <w:r w:rsidR="00C8161B">
        <w:rPr>
          <w:rFonts w:ascii="Arial" w:hAnsi="Arial"/>
          <w:sz w:val="22"/>
        </w:rPr>
        <w:t xml:space="preserve"> </w:t>
      </w:r>
      <w:r w:rsidR="00DB72A7">
        <w:rPr>
          <w:rFonts w:ascii="Arial" w:hAnsi="Arial"/>
          <w:sz w:val="22"/>
        </w:rPr>
        <w:t>milhões,</w:t>
      </w:r>
      <w:r w:rsidR="00F6568E" w:rsidRPr="004E5075">
        <w:rPr>
          <w:rFonts w:ascii="Arial" w:hAnsi="Arial"/>
          <w:sz w:val="22"/>
        </w:rPr>
        <w:t xml:space="preserve"> refere-se </w:t>
      </w:r>
      <w:r w:rsidR="00501599" w:rsidRPr="004E5075">
        <w:rPr>
          <w:rFonts w:ascii="Arial" w:hAnsi="Arial"/>
          <w:sz w:val="22"/>
        </w:rPr>
        <w:t>a receitas de concessões e permissões, foros, laudêmios, permissões de uso, remuneração provisória de ocupação, entre outras.</w:t>
      </w:r>
    </w:p>
    <w:p w:rsidR="00825D2C" w:rsidRPr="00AC00D5" w:rsidRDefault="00825D2C">
      <w:pPr>
        <w:tabs>
          <w:tab w:val="left" w:pos="426"/>
        </w:tabs>
        <w:spacing w:line="360" w:lineRule="auto"/>
        <w:jc w:val="both"/>
        <w:rPr>
          <w:rFonts w:ascii="Arial" w:hAnsi="Arial"/>
          <w:b/>
          <w:sz w:val="10"/>
          <w:szCs w:val="10"/>
          <w:highlight w:val="yellow"/>
        </w:rPr>
      </w:pPr>
    </w:p>
    <w:p w:rsidR="00825D2C" w:rsidRPr="00600BF3" w:rsidRDefault="00825D2C">
      <w:pPr>
        <w:tabs>
          <w:tab w:val="left" w:pos="426"/>
        </w:tabs>
        <w:spacing w:line="360" w:lineRule="auto"/>
        <w:jc w:val="both"/>
        <w:rPr>
          <w:rFonts w:ascii="Arial" w:hAnsi="Arial"/>
          <w:b/>
          <w:sz w:val="22"/>
        </w:rPr>
      </w:pPr>
      <w:r w:rsidRPr="00600BF3">
        <w:rPr>
          <w:rFonts w:ascii="Arial" w:hAnsi="Arial"/>
          <w:b/>
          <w:sz w:val="22"/>
        </w:rPr>
        <w:t xml:space="preserve">Receitas de Serviços </w:t>
      </w:r>
      <w:r w:rsidRPr="00600BF3">
        <w:rPr>
          <w:rFonts w:ascii="Arial" w:hAnsi="Arial"/>
          <w:sz w:val="22"/>
        </w:rPr>
        <w:t xml:space="preserve">– Esta categoria de receita foi estimada </w:t>
      </w:r>
      <w:r w:rsidRPr="0093316D">
        <w:rPr>
          <w:rFonts w:ascii="Arial" w:hAnsi="Arial"/>
          <w:sz w:val="22"/>
        </w:rPr>
        <w:t>em R$</w:t>
      </w:r>
      <w:r w:rsidR="0093316D" w:rsidRPr="0093316D">
        <w:rPr>
          <w:rFonts w:ascii="Arial" w:hAnsi="Arial"/>
          <w:sz w:val="22"/>
        </w:rPr>
        <w:t> </w:t>
      </w:r>
      <w:r w:rsidR="008E33AB">
        <w:rPr>
          <w:rFonts w:ascii="Arial" w:hAnsi="Arial"/>
          <w:sz w:val="22"/>
        </w:rPr>
        <w:t>59,4</w:t>
      </w:r>
      <w:r w:rsidRPr="0093316D">
        <w:rPr>
          <w:rFonts w:ascii="Arial" w:hAnsi="Arial"/>
          <w:sz w:val="22"/>
        </w:rPr>
        <w:t xml:space="preserve"> milhões</w:t>
      </w:r>
      <w:r w:rsidRPr="00600BF3">
        <w:rPr>
          <w:rFonts w:ascii="Arial" w:hAnsi="Arial"/>
          <w:sz w:val="22"/>
        </w:rPr>
        <w:t xml:space="preserve"> e compreende, em sua maior parte, a</w:t>
      </w:r>
      <w:r w:rsidR="008B6939" w:rsidRPr="00600BF3">
        <w:rPr>
          <w:rFonts w:ascii="Arial" w:hAnsi="Arial"/>
          <w:sz w:val="22"/>
        </w:rPr>
        <w:t>s</w:t>
      </w:r>
      <w:r w:rsidRPr="00600BF3">
        <w:rPr>
          <w:rFonts w:ascii="Arial" w:hAnsi="Arial"/>
          <w:sz w:val="22"/>
        </w:rPr>
        <w:t xml:space="preserve"> receita</w:t>
      </w:r>
      <w:r w:rsidR="008B6939" w:rsidRPr="00600BF3">
        <w:rPr>
          <w:rFonts w:ascii="Arial" w:hAnsi="Arial"/>
          <w:sz w:val="22"/>
        </w:rPr>
        <w:t>s</w:t>
      </w:r>
      <w:r w:rsidRPr="00600BF3">
        <w:rPr>
          <w:rFonts w:ascii="Arial" w:hAnsi="Arial"/>
          <w:sz w:val="22"/>
        </w:rPr>
        <w:t xml:space="preserve"> proveniente</w:t>
      </w:r>
      <w:r w:rsidR="008B6939" w:rsidRPr="00600BF3">
        <w:rPr>
          <w:rFonts w:ascii="Arial" w:hAnsi="Arial"/>
          <w:sz w:val="22"/>
        </w:rPr>
        <w:t>s</w:t>
      </w:r>
      <w:r w:rsidR="007854EE">
        <w:rPr>
          <w:rFonts w:ascii="Arial" w:hAnsi="Arial"/>
          <w:sz w:val="22"/>
        </w:rPr>
        <w:t xml:space="preserve"> de </w:t>
      </w:r>
      <w:r w:rsidR="008B6939" w:rsidRPr="0093316D">
        <w:rPr>
          <w:rFonts w:ascii="Arial" w:hAnsi="Arial"/>
          <w:sz w:val="22"/>
        </w:rPr>
        <w:t xml:space="preserve">serviços </w:t>
      </w:r>
      <w:proofErr w:type="gramStart"/>
      <w:r w:rsidR="000A63D3">
        <w:rPr>
          <w:rFonts w:ascii="Arial" w:hAnsi="Arial"/>
          <w:sz w:val="22"/>
        </w:rPr>
        <w:t>a</w:t>
      </w:r>
      <w:r w:rsidR="008B6939" w:rsidRPr="0093316D">
        <w:rPr>
          <w:rFonts w:ascii="Arial" w:hAnsi="Arial"/>
          <w:sz w:val="22"/>
        </w:rPr>
        <w:t>dministra</w:t>
      </w:r>
      <w:r w:rsidR="000A63D3">
        <w:rPr>
          <w:rFonts w:ascii="Arial" w:hAnsi="Arial"/>
          <w:sz w:val="22"/>
        </w:rPr>
        <w:t>tivos -</w:t>
      </w:r>
      <w:r w:rsidR="008B6939" w:rsidRPr="0093316D">
        <w:rPr>
          <w:rFonts w:ascii="Arial" w:hAnsi="Arial"/>
          <w:sz w:val="22"/>
        </w:rPr>
        <w:t xml:space="preserve"> Direta (</w:t>
      </w:r>
      <w:r w:rsidR="00F51080" w:rsidRPr="0093316D">
        <w:rPr>
          <w:rFonts w:ascii="Arial" w:hAnsi="Arial"/>
          <w:sz w:val="22"/>
        </w:rPr>
        <w:t xml:space="preserve">R$ </w:t>
      </w:r>
      <w:r w:rsidR="008E33AB">
        <w:rPr>
          <w:rFonts w:ascii="Arial" w:hAnsi="Arial"/>
          <w:sz w:val="22"/>
        </w:rPr>
        <w:t>14,2</w:t>
      </w:r>
      <w:r w:rsidR="008B6939" w:rsidRPr="0093316D">
        <w:rPr>
          <w:rFonts w:ascii="Arial" w:hAnsi="Arial"/>
          <w:sz w:val="22"/>
        </w:rPr>
        <w:t xml:space="preserve"> milhões)</w:t>
      </w:r>
      <w:proofErr w:type="gramEnd"/>
      <w:r w:rsidR="008B6939" w:rsidRPr="0093316D">
        <w:rPr>
          <w:rFonts w:ascii="Arial" w:hAnsi="Arial"/>
          <w:sz w:val="22"/>
        </w:rPr>
        <w:t xml:space="preserve"> </w:t>
      </w:r>
      <w:r w:rsidR="008B6939" w:rsidRPr="007854EE">
        <w:rPr>
          <w:rFonts w:ascii="Arial" w:hAnsi="Arial"/>
          <w:sz w:val="22"/>
        </w:rPr>
        <w:t xml:space="preserve">e serviços de </w:t>
      </w:r>
      <w:r w:rsidR="00BC3CE4" w:rsidRPr="007854EE">
        <w:rPr>
          <w:rFonts w:ascii="Arial" w:hAnsi="Arial"/>
          <w:sz w:val="22"/>
        </w:rPr>
        <w:t>Remoção e Estadia de Veículos</w:t>
      </w:r>
      <w:r w:rsidR="007854EE" w:rsidRPr="007854EE">
        <w:rPr>
          <w:rFonts w:ascii="Arial" w:hAnsi="Arial"/>
          <w:sz w:val="22"/>
        </w:rPr>
        <w:t xml:space="preserve"> (R$ </w:t>
      </w:r>
      <w:r w:rsidR="00A25EFA">
        <w:rPr>
          <w:rFonts w:ascii="Arial" w:hAnsi="Arial"/>
          <w:sz w:val="22"/>
        </w:rPr>
        <w:t>23</w:t>
      </w:r>
      <w:r w:rsidR="008B6939" w:rsidRPr="007854EE">
        <w:rPr>
          <w:rFonts w:ascii="Arial" w:hAnsi="Arial"/>
          <w:sz w:val="22"/>
        </w:rPr>
        <w:t>,</w:t>
      </w:r>
      <w:r w:rsidR="008E33AB">
        <w:rPr>
          <w:rFonts w:ascii="Arial" w:hAnsi="Arial"/>
          <w:sz w:val="22"/>
        </w:rPr>
        <w:t>5</w:t>
      </w:r>
      <w:r w:rsidR="008B6939" w:rsidRPr="007854EE">
        <w:rPr>
          <w:rFonts w:ascii="Arial" w:hAnsi="Arial"/>
          <w:sz w:val="22"/>
        </w:rPr>
        <w:t xml:space="preserve"> milhões).</w:t>
      </w:r>
    </w:p>
    <w:p w:rsidR="00825D2C" w:rsidRPr="00AC00D5" w:rsidRDefault="00825D2C">
      <w:pPr>
        <w:tabs>
          <w:tab w:val="left" w:pos="426"/>
        </w:tabs>
        <w:spacing w:line="360" w:lineRule="auto"/>
        <w:jc w:val="both"/>
        <w:rPr>
          <w:rFonts w:ascii="Arial" w:hAnsi="Arial"/>
          <w:b/>
          <w:sz w:val="10"/>
          <w:szCs w:val="10"/>
          <w:highlight w:val="yellow"/>
        </w:rPr>
      </w:pPr>
    </w:p>
    <w:p w:rsidR="00825D2C" w:rsidRPr="00251BF7" w:rsidRDefault="00825D2C">
      <w:pPr>
        <w:pStyle w:val="NmerosN1"/>
        <w:ind w:left="0"/>
      </w:pPr>
      <w:r w:rsidRPr="005C25ED">
        <w:rPr>
          <w:b/>
        </w:rPr>
        <w:t>Transferências Correntes</w:t>
      </w:r>
      <w:r w:rsidRPr="005C25ED">
        <w:t xml:space="preserve"> – As Transferências Correntes </w:t>
      </w:r>
      <w:r w:rsidR="004C43DD" w:rsidRPr="005C25ED">
        <w:t xml:space="preserve">foram </w:t>
      </w:r>
      <w:r w:rsidRPr="005C25ED">
        <w:t xml:space="preserve">estimadas em </w:t>
      </w:r>
      <w:r w:rsidRPr="00BF5E39">
        <w:t xml:space="preserve">R$ </w:t>
      </w:r>
      <w:r w:rsidR="00B97DD8" w:rsidRPr="00B97DD8">
        <w:t>7,948</w:t>
      </w:r>
      <w:r w:rsidRPr="00BF5E39">
        <w:t xml:space="preserve"> bilhões e</w:t>
      </w:r>
      <w:r w:rsidRPr="005C25ED">
        <w:t xml:space="preserve"> compreendem as transferências para </w:t>
      </w:r>
      <w:proofErr w:type="gramStart"/>
      <w:r w:rsidRPr="005C25ED">
        <w:t>o Município provenientes do Estado e da União de natureza constitucional e voluntária</w:t>
      </w:r>
      <w:proofErr w:type="gramEnd"/>
      <w:r w:rsidRPr="005C25ED">
        <w:t xml:space="preserve"> e os convênios firmados com o Poder Público e a iniciativa privada. Dentre as Transferências Correntes destacam-se as </w:t>
      </w:r>
      <w:r w:rsidRPr="00BF5E39">
        <w:t xml:space="preserve">Transferências Intergovernamentais, cujo montante soma R$ </w:t>
      </w:r>
      <w:r w:rsidR="00B97DD8" w:rsidRPr="00B97DD8">
        <w:t>7,926</w:t>
      </w:r>
      <w:r w:rsidRPr="00BF5E39">
        <w:t xml:space="preserve"> bilhões, e é composto pelas Transferências da União, do Estado e Multigovernamentais:</w:t>
      </w:r>
    </w:p>
    <w:p w:rsidR="00825D2C" w:rsidRPr="00D76E7D" w:rsidRDefault="00825D2C">
      <w:pPr>
        <w:pStyle w:val="NmerosN1"/>
        <w:rPr>
          <w:sz w:val="10"/>
          <w:szCs w:val="10"/>
          <w:highlight w:val="yellow"/>
        </w:rPr>
      </w:pPr>
    </w:p>
    <w:p w:rsidR="00825D2C" w:rsidRPr="005C25ED" w:rsidRDefault="00825D2C" w:rsidP="0046109C">
      <w:pPr>
        <w:pStyle w:val="NmerosN1"/>
        <w:ind w:left="0"/>
      </w:pPr>
      <w:r w:rsidRPr="00186C64">
        <w:rPr>
          <w:b/>
        </w:rPr>
        <w:t>Transferências da União</w:t>
      </w:r>
      <w:r w:rsidRPr="005C25ED">
        <w:t xml:space="preserve"> – </w:t>
      </w:r>
      <w:r w:rsidRPr="00BF5E39">
        <w:t>Somando R$</w:t>
      </w:r>
      <w:r w:rsidR="00BF5E39" w:rsidRPr="00BF5E39">
        <w:t xml:space="preserve"> </w:t>
      </w:r>
      <w:r w:rsidR="00E603D5">
        <w:t>2,</w:t>
      </w:r>
      <w:r w:rsidR="00D4652F">
        <w:t>258</w:t>
      </w:r>
      <w:r w:rsidR="005C25ED" w:rsidRPr="00BF5E39">
        <w:t xml:space="preserve"> </w:t>
      </w:r>
      <w:r w:rsidRPr="00BF5E39">
        <w:t>bilh</w:t>
      </w:r>
      <w:r w:rsidR="00165EFE" w:rsidRPr="00BF5E39">
        <w:t>ões</w:t>
      </w:r>
      <w:r w:rsidRPr="00BF5E39">
        <w:t>, são</w:t>
      </w:r>
      <w:r w:rsidRPr="005C25ED">
        <w:t xml:space="preserve"> destaques:</w:t>
      </w:r>
    </w:p>
    <w:p w:rsidR="00825D2C" w:rsidRPr="00251BF7" w:rsidRDefault="004C43DD" w:rsidP="0046109C">
      <w:pPr>
        <w:pStyle w:val="NmerosN1"/>
        <w:ind w:left="0"/>
      </w:pPr>
      <w:r w:rsidRPr="00251BF7">
        <w:rPr>
          <w:i/>
        </w:rPr>
        <w:t xml:space="preserve">Cota-Parte do </w:t>
      </w:r>
      <w:r w:rsidR="00825D2C" w:rsidRPr="00251BF7">
        <w:rPr>
          <w:i/>
        </w:rPr>
        <w:t>Fundo de Participação dos Municípios</w:t>
      </w:r>
      <w:r w:rsidR="00825D2C" w:rsidRPr="00251BF7">
        <w:t xml:space="preserve"> </w:t>
      </w:r>
      <w:r w:rsidRPr="00251BF7">
        <w:rPr>
          <w:i/>
        </w:rPr>
        <w:t>líquido da parcela que compõe o FUNDEB</w:t>
      </w:r>
      <w:r w:rsidRPr="00251BF7">
        <w:t xml:space="preserve"> </w:t>
      </w:r>
      <w:r w:rsidR="00825D2C" w:rsidRPr="00251BF7">
        <w:t xml:space="preserve">– Transferência constitucional, estimada </w:t>
      </w:r>
      <w:r w:rsidR="00825D2C" w:rsidRPr="00BF5E39">
        <w:t xml:space="preserve">em R$ </w:t>
      </w:r>
      <w:r w:rsidR="00C90C57">
        <w:t>217,4</w:t>
      </w:r>
      <w:r w:rsidR="00825D2C" w:rsidRPr="00BF5E39">
        <w:t xml:space="preserve"> </w:t>
      </w:r>
      <w:r w:rsidR="00C90C57">
        <w:t>m</w:t>
      </w:r>
      <w:r w:rsidR="00825D2C" w:rsidRPr="00BF5E39">
        <w:t>ilhões.</w:t>
      </w:r>
    </w:p>
    <w:p w:rsidR="00825D2C" w:rsidRPr="00251BF7" w:rsidRDefault="00825D2C" w:rsidP="0046109C">
      <w:pPr>
        <w:pStyle w:val="NmerosN1"/>
        <w:ind w:left="0"/>
      </w:pPr>
      <w:r w:rsidRPr="005C25ED">
        <w:rPr>
          <w:i/>
        </w:rPr>
        <w:t>Royalties do Petróleo</w:t>
      </w:r>
      <w:r w:rsidRPr="005C25ED">
        <w:rPr>
          <w:b/>
        </w:rPr>
        <w:t xml:space="preserve"> </w:t>
      </w:r>
      <w:r w:rsidRPr="005C25ED">
        <w:t xml:space="preserve">– Estimados </w:t>
      </w:r>
      <w:r w:rsidRPr="00BF5E39">
        <w:t xml:space="preserve">em R$ </w:t>
      </w:r>
      <w:r w:rsidR="00880FAC">
        <w:t>94,6</w:t>
      </w:r>
      <w:r w:rsidRPr="00BF5E39">
        <w:t xml:space="preserve"> milhões.</w:t>
      </w:r>
    </w:p>
    <w:p w:rsidR="007928FF" w:rsidRPr="00251BF7" w:rsidRDefault="00825D2C" w:rsidP="0046109C">
      <w:pPr>
        <w:pStyle w:val="NmerosN1"/>
        <w:ind w:left="0"/>
      </w:pPr>
      <w:r w:rsidRPr="00251BF7">
        <w:rPr>
          <w:i/>
        </w:rPr>
        <w:lastRenderedPageBreak/>
        <w:t>Receitas do Sistema Único de Saúde</w:t>
      </w:r>
      <w:r w:rsidRPr="00251BF7">
        <w:t xml:space="preserve"> – Estimadas </w:t>
      </w:r>
      <w:r w:rsidRPr="00C63459">
        <w:t>em R$ 1,</w:t>
      </w:r>
      <w:r w:rsidR="00C419CE">
        <w:t>428</w:t>
      </w:r>
      <w:r w:rsidRPr="00C63459">
        <w:t xml:space="preserve"> bilhão,</w:t>
      </w:r>
      <w:r w:rsidRPr="00251BF7">
        <w:t xml:space="preserve"> englobam</w:t>
      </w:r>
      <w:r w:rsidR="007928FF" w:rsidRPr="00251BF7">
        <w:t>, principalmente,</w:t>
      </w:r>
      <w:r w:rsidRPr="00251BF7">
        <w:t xml:space="preserve"> a previsão para os repasses do Piso de Atenção Básica, </w:t>
      </w:r>
      <w:r w:rsidR="00027646" w:rsidRPr="00251BF7">
        <w:t>de Atenção de Média e Alta Complex</w:t>
      </w:r>
      <w:r w:rsidR="00C24D56">
        <w:t>idade; Vigilância em Saúde</w:t>
      </w:r>
      <w:r w:rsidR="00027646" w:rsidRPr="00251BF7">
        <w:t xml:space="preserve"> e Sanitária</w:t>
      </w:r>
      <w:r w:rsidR="007928FF" w:rsidRPr="00251BF7">
        <w:t xml:space="preserve"> e</w:t>
      </w:r>
      <w:r w:rsidR="00027646" w:rsidRPr="00251BF7">
        <w:t xml:space="preserve"> da Assistência Farmacêutica</w:t>
      </w:r>
      <w:r w:rsidR="007928FF" w:rsidRPr="00251BF7">
        <w:t>.</w:t>
      </w:r>
    </w:p>
    <w:p w:rsidR="00825D2C" w:rsidRPr="00251BF7" w:rsidRDefault="00825D2C" w:rsidP="0046109C">
      <w:pPr>
        <w:pStyle w:val="NmerosN1"/>
        <w:ind w:left="0"/>
      </w:pPr>
      <w:r w:rsidRPr="00251BF7">
        <w:rPr>
          <w:i/>
        </w:rPr>
        <w:t>Salário Educação</w:t>
      </w:r>
      <w:r w:rsidRPr="00251BF7">
        <w:t xml:space="preserve"> – Contribuição social, transferida através do Fundo Nacional de Desenvolvimento da Educação (FNDE), estimada em </w:t>
      </w:r>
      <w:r w:rsidRPr="003B4B3F">
        <w:t xml:space="preserve">R$ </w:t>
      </w:r>
      <w:r w:rsidR="00C419CE" w:rsidRPr="00C419CE">
        <w:t>368,2</w:t>
      </w:r>
      <w:r w:rsidRPr="003B4B3F">
        <w:t xml:space="preserve"> milhões.</w:t>
      </w:r>
    </w:p>
    <w:p w:rsidR="00D37F9D" w:rsidRPr="00251BF7" w:rsidRDefault="00D37F9D" w:rsidP="0046109C">
      <w:pPr>
        <w:pStyle w:val="NmerosN1"/>
        <w:ind w:left="0"/>
        <w:rPr>
          <w:b/>
        </w:rPr>
      </w:pPr>
      <w:r w:rsidRPr="007F67E0">
        <w:rPr>
          <w:i/>
        </w:rPr>
        <w:t>Convênios</w:t>
      </w:r>
      <w:r w:rsidR="005A5F49" w:rsidRPr="007F67E0">
        <w:rPr>
          <w:i/>
        </w:rPr>
        <w:t xml:space="preserve"> </w:t>
      </w:r>
      <w:r w:rsidR="005A5F49" w:rsidRPr="007F67E0">
        <w:t xml:space="preserve">– Estimados em R$ </w:t>
      </w:r>
      <w:r w:rsidR="0009549C">
        <w:t>16,</w:t>
      </w:r>
      <w:r w:rsidR="00390650">
        <w:t>5</w:t>
      </w:r>
      <w:r w:rsidR="005A5F49" w:rsidRPr="007F67E0">
        <w:t xml:space="preserve"> milhões.</w:t>
      </w:r>
    </w:p>
    <w:p w:rsidR="00825D2C" w:rsidRPr="00D76E7D" w:rsidRDefault="00825D2C" w:rsidP="0046109C">
      <w:pPr>
        <w:pStyle w:val="NmerosN1"/>
        <w:ind w:left="0"/>
        <w:rPr>
          <w:sz w:val="10"/>
          <w:szCs w:val="10"/>
          <w:highlight w:val="yellow"/>
        </w:rPr>
      </w:pPr>
    </w:p>
    <w:p w:rsidR="00825D2C" w:rsidRPr="00E130CA" w:rsidRDefault="00825D2C" w:rsidP="0046109C">
      <w:pPr>
        <w:pStyle w:val="NmerosN1"/>
        <w:ind w:left="0"/>
      </w:pPr>
      <w:r w:rsidRPr="00663E6C">
        <w:rPr>
          <w:b/>
        </w:rPr>
        <w:t>Transferências do Estado</w:t>
      </w:r>
      <w:r w:rsidRPr="00663E6C">
        <w:t xml:space="preserve"> – Totalizando</w:t>
      </w:r>
      <w:r w:rsidRPr="00BD0200">
        <w:t xml:space="preserve"> R$ </w:t>
      </w:r>
      <w:r w:rsidR="00431321">
        <w:t>3,189</w:t>
      </w:r>
      <w:r w:rsidRPr="00BD0200">
        <w:t xml:space="preserve"> bilhões, destacam</w:t>
      </w:r>
      <w:r w:rsidRPr="00E130CA">
        <w:t>-se:</w:t>
      </w:r>
    </w:p>
    <w:p w:rsidR="00825D2C" w:rsidRPr="00BD0200" w:rsidRDefault="00163ECE" w:rsidP="0046109C">
      <w:pPr>
        <w:pStyle w:val="NmerosN1"/>
        <w:ind w:left="0"/>
      </w:pPr>
      <w:r w:rsidRPr="00251BF7">
        <w:rPr>
          <w:i/>
        </w:rPr>
        <w:t>Cota-</w:t>
      </w:r>
      <w:r w:rsidRPr="00BD0200">
        <w:rPr>
          <w:i/>
        </w:rPr>
        <w:t xml:space="preserve">Parte do </w:t>
      </w:r>
      <w:r w:rsidR="00825D2C" w:rsidRPr="00BD0200">
        <w:rPr>
          <w:i/>
        </w:rPr>
        <w:t>ICMS</w:t>
      </w:r>
      <w:r w:rsidR="00825D2C" w:rsidRPr="00BD0200">
        <w:t xml:space="preserve"> </w:t>
      </w:r>
      <w:r w:rsidRPr="00BD0200">
        <w:rPr>
          <w:i/>
        </w:rPr>
        <w:t>líquido da parcela que compõe o FUNDEB</w:t>
      </w:r>
      <w:r w:rsidRPr="00BD0200">
        <w:t xml:space="preserve"> </w:t>
      </w:r>
      <w:r w:rsidR="00825D2C" w:rsidRPr="00BD0200">
        <w:t xml:space="preserve">– Transferência constitucional estimada em R$ </w:t>
      </w:r>
      <w:r w:rsidR="00251BF7" w:rsidRPr="00BD0200">
        <w:t>2</w:t>
      </w:r>
      <w:r w:rsidR="00825D2C" w:rsidRPr="00BD0200">
        <w:t>,</w:t>
      </w:r>
      <w:r w:rsidR="005263FF">
        <w:t>3</w:t>
      </w:r>
      <w:r w:rsidR="00A9394D">
        <w:t>18</w:t>
      </w:r>
      <w:r w:rsidR="00825D2C" w:rsidRPr="00BD0200">
        <w:t xml:space="preserve"> bilh</w:t>
      </w:r>
      <w:r w:rsidR="00A375F4" w:rsidRPr="00BD0200">
        <w:t>ões</w:t>
      </w:r>
      <w:r w:rsidR="00825D2C" w:rsidRPr="00BD0200">
        <w:t>.</w:t>
      </w:r>
    </w:p>
    <w:p w:rsidR="00825D2C" w:rsidRPr="00BD0200" w:rsidRDefault="00163ECE" w:rsidP="0046109C">
      <w:pPr>
        <w:pStyle w:val="NmerosN1"/>
        <w:ind w:left="0"/>
      </w:pPr>
      <w:r w:rsidRPr="00BD0200">
        <w:rPr>
          <w:i/>
        </w:rPr>
        <w:t xml:space="preserve">Cota-Parte do </w:t>
      </w:r>
      <w:r w:rsidR="00825D2C" w:rsidRPr="00BD0200">
        <w:rPr>
          <w:i/>
        </w:rPr>
        <w:t>IPVA</w:t>
      </w:r>
      <w:r w:rsidR="00825D2C" w:rsidRPr="00BD0200">
        <w:rPr>
          <w:b/>
        </w:rPr>
        <w:t xml:space="preserve"> </w:t>
      </w:r>
      <w:r w:rsidRPr="00BD0200">
        <w:rPr>
          <w:i/>
        </w:rPr>
        <w:t>líquido da parcela que compõe o FUNDEB</w:t>
      </w:r>
      <w:r w:rsidRPr="00BD0200">
        <w:t xml:space="preserve"> </w:t>
      </w:r>
      <w:r w:rsidR="00825D2C" w:rsidRPr="00BD0200">
        <w:t xml:space="preserve">– Transferência constitucional, estimada em R$ </w:t>
      </w:r>
      <w:r w:rsidR="00A9394D">
        <w:t>730,4</w:t>
      </w:r>
      <w:r w:rsidR="00825D2C" w:rsidRPr="00BD0200">
        <w:t xml:space="preserve"> milhões.</w:t>
      </w:r>
    </w:p>
    <w:p w:rsidR="00825D2C" w:rsidRPr="00251BF7" w:rsidRDefault="00825D2C" w:rsidP="0046109C">
      <w:pPr>
        <w:pStyle w:val="NmerosN1"/>
        <w:ind w:left="0"/>
      </w:pPr>
      <w:r w:rsidRPr="00BD0200">
        <w:rPr>
          <w:i/>
        </w:rPr>
        <w:t>Royalties do Petróleo</w:t>
      </w:r>
      <w:r w:rsidRPr="00BD0200">
        <w:t xml:space="preserve"> – Estimados em R$ </w:t>
      </w:r>
      <w:r w:rsidR="007B6487">
        <w:t>76,9</w:t>
      </w:r>
      <w:r w:rsidRPr="00BD0200">
        <w:t xml:space="preserve"> milhões.</w:t>
      </w:r>
    </w:p>
    <w:p w:rsidR="00825D2C" w:rsidRPr="00D76E7D" w:rsidRDefault="00825D2C" w:rsidP="0046109C">
      <w:pPr>
        <w:pStyle w:val="NmerosN1"/>
        <w:ind w:left="0"/>
        <w:rPr>
          <w:sz w:val="10"/>
          <w:szCs w:val="10"/>
          <w:highlight w:val="yellow"/>
        </w:rPr>
      </w:pPr>
    </w:p>
    <w:p w:rsidR="00825D2C" w:rsidRDefault="00825D2C" w:rsidP="0046109C">
      <w:pPr>
        <w:pStyle w:val="NmerosN1"/>
        <w:ind w:left="0"/>
      </w:pPr>
      <w:r w:rsidRPr="00E130CA">
        <w:rPr>
          <w:b/>
        </w:rPr>
        <w:t xml:space="preserve">Transferências Multigovernamentais </w:t>
      </w:r>
      <w:r w:rsidRPr="00E130CA">
        <w:t>–</w:t>
      </w:r>
      <w:r w:rsidRPr="00E130CA">
        <w:rPr>
          <w:b/>
        </w:rPr>
        <w:t xml:space="preserve"> </w:t>
      </w:r>
      <w:r w:rsidRPr="00E130CA">
        <w:t>Compreendem os recursos do</w:t>
      </w:r>
      <w:r w:rsidRPr="00E130CA">
        <w:rPr>
          <w:i/>
        </w:rPr>
        <w:t xml:space="preserve"> FUNDEB, </w:t>
      </w:r>
      <w:r w:rsidRPr="00E130CA">
        <w:t xml:space="preserve">estimados em </w:t>
      </w:r>
      <w:r w:rsidRPr="00622AB6">
        <w:t xml:space="preserve">R$ </w:t>
      </w:r>
      <w:r w:rsidR="00E130CA" w:rsidRPr="00622AB6">
        <w:t>2</w:t>
      </w:r>
      <w:r w:rsidR="00921D46" w:rsidRPr="00622AB6">
        <w:t>,</w:t>
      </w:r>
      <w:r w:rsidR="005B4777">
        <w:t>479</w:t>
      </w:r>
      <w:r w:rsidRPr="00622AB6">
        <w:t xml:space="preserve"> bilh</w:t>
      </w:r>
      <w:r w:rsidR="00A375F4" w:rsidRPr="00622AB6">
        <w:t>ões</w:t>
      </w:r>
      <w:r w:rsidRPr="00622AB6">
        <w:t>, resultando da</w:t>
      </w:r>
      <w:r w:rsidRPr="00E130CA">
        <w:t xml:space="preserve"> receita prevista para as transferências dos impostos que compõem a sua base.</w:t>
      </w:r>
    </w:p>
    <w:p w:rsidR="00825D2C" w:rsidRDefault="00825D2C">
      <w:pPr>
        <w:pStyle w:val="NmerosN1"/>
        <w:rPr>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 xml:space="preserve">Outras Receitas Correntes </w:t>
      </w:r>
      <w:r w:rsidR="004C2403">
        <w:t xml:space="preserve">– </w:t>
      </w:r>
      <w:r w:rsidR="004C2403" w:rsidRPr="00622AB6">
        <w:rPr>
          <w:rFonts w:ascii="Arial" w:hAnsi="Arial"/>
          <w:sz w:val="22"/>
        </w:rPr>
        <w:t>Estimada</w:t>
      </w:r>
      <w:r w:rsidRPr="00622AB6">
        <w:rPr>
          <w:rFonts w:ascii="Arial" w:hAnsi="Arial"/>
          <w:sz w:val="22"/>
        </w:rPr>
        <w:t xml:space="preserve">s </w:t>
      </w:r>
      <w:r w:rsidR="004C2403" w:rsidRPr="00622AB6">
        <w:rPr>
          <w:rFonts w:ascii="Arial" w:hAnsi="Arial"/>
          <w:sz w:val="22"/>
        </w:rPr>
        <w:t xml:space="preserve">em </w:t>
      </w:r>
      <w:r w:rsidRPr="00622AB6">
        <w:rPr>
          <w:rFonts w:ascii="Arial" w:hAnsi="Arial"/>
          <w:sz w:val="22"/>
        </w:rPr>
        <w:t>R$</w:t>
      </w:r>
      <w:r w:rsidR="00E130CA" w:rsidRPr="00622AB6">
        <w:rPr>
          <w:rFonts w:ascii="Arial" w:hAnsi="Arial"/>
          <w:sz w:val="22"/>
        </w:rPr>
        <w:t> </w:t>
      </w:r>
      <w:r w:rsidR="00D12A89" w:rsidRPr="00D12A89">
        <w:rPr>
          <w:rFonts w:ascii="Arial" w:hAnsi="Arial"/>
          <w:sz w:val="22"/>
        </w:rPr>
        <w:t>1,873</w:t>
      </w:r>
      <w:r w:rsidR="004C2403" w:rsidRPr="00622AB6">
        <w:rPr>
          <w:rFonts w:ascii="Arial" w:hAnsi="Arial"/>
          <w:sz w:val="22"/>
        </w:rPr>
        <w:t xml:space="preserve"> bilhão proveniente</w:t>
      </w:r>
      <w:r>
        <w:rPr>
          <w:rFonts w:ascii="Arial" w:hAnsi="Arial"/>
          <w:sz w:val="22"/>
        </w:rPr>
        <w:t xml:space="preserve"> principalmente de multas, indenizações e restituições, além de dívida ativa e receitas diversas.</w:t>
      </w:r>
    </w:p>
    <w:p w:rsidR="00825D2C" w:rsidRDefault="00825D2C">
      <w:pPr>
        <w:tabs>
          <w:tab w:val="left" w:pos="426"/>
        </w:tabs>
        <w:spacing w:line="360" w:lineRule="auto"/>
        <w:jc w:val="both"/>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 xml:space="preserve">Operações de Crédito </w:t>
      </w:r>
      <w:r>
        <w:rPr>
          <w:rFonts w:ascii="Arial" w:hAnsi="Arial"/>
          <w:sz w:val="22"/>
        </w:rPr>
        <w:t xml:space="preserve">– Com ingressos estimados em </w:t>
      </w:r>
      <w:r w:rsidRPr="00622AB6">
        <w:rPr>
          <w:rFonts w:ascii="Arial" w:hAnsi="Arial"/>
          <w:sz w:val="22"/>
        </w:rPr>
        <w:t>R$</w:t>
      </w:r>
      <w:r w:rsidR="00E130CA" w:rsidRPr="00622AB6">
        <w:rPr>
          <w:rFonts w:ascii="Arial" w:hAnsi="Arial"/>
          <w:sz w:val="22"/>
        </w:rPr>
        <w:t> </w:t>
      </w:r>
      <w:r w:rsidR="00D12A89" w:rsidRPr="00D12A89">
        <w:rPr>
          <w:rFonts w:ascii="Arial" w:hAnsi="Arial"/>
          <w:sz w:val="22"/>
        </w:rPr>
        <w:t>1,299</w:t>
      </w:r>
      <w:r w:rsidR="00E130CA" w:rsidRPr="00622AB6">
        <w:rPr>
          <w:rFonts w:ascii="Arial" w:hAnsi="Arial"/>
          <w:sz w:val="22"/>
        </w:rPr>
        <w:t> </w:t>
      </w:r>
      <w:r w:rsidR="00E00253" w:rsidRPr="00622AB6">
        <w:rPr>
          <w:rFonts w:ascii="Arial" w:hAnsi="Arial"/>
          <w:sz w:val="22"/>
        </w:rPr>
        <w:t>bilh</w:t>
      </w:r>
      <w:r w:rsidR="005263FF">
        <w:rPr>
          <w:rFonts w:ascii="Arial" w:hAnsi="Arial"/>
          <w:sz w:val="22"/>
        </w:rPr>
        <w:t>ão</w:t>
      </w:r>
      <w:r w:rsidRPr="00622AB6">
        <w:rPr>
          <w:rFonts w:ascii="Arial" w:hAnsi="Arial"/>
          <w:sz w:val="22"/>
        </w:rPr>
        <w:t>, referem</w:t>
      </w:r>
      <w:r>
        <w:rPr>
          <w:rFonts w:ascii="Arial" w:hAnsi="Arial"/>
          <w:sz w:val="22"/>
        </w:rPr>
        <w:t>-se a financiamentos para programas de investimento em andamento e a contratar, em áreas como urbanização, habita</w:t>
      </w:r>
      <w:r w:rsidR="00E130CA">
        <w:rPr>
          <w:rFonts w:ascii="Arial" w:hAnsi="Arial"/>
          <w:sz w:val="22"/>
        </w:rPr>
        <w:t>ção e saneamento, entre outras.</w:t>
      </w:r>
    </w:p>
    <w:p w:rsidR="00825D2C" w:rsidRDefault="00825D2C">
      <w:pPr>
        <w:tabs>
          <w:tab w:val="left" w:pos="426"/>
        </w:tabs>
        <w:spacing w:line="360" w:lineRule="auto"/>
        <w:jc w:val="both"/>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Alienação de Bens</w:t>
      </w:r>
      <w:r>
        <w:rPr>
          <w:rFonts w:ascii="Arial" w:hAnsi="Arial"/>
          <w:sz w:val="22"/>
        </w:rPr>
        <w:t xml:space="preserve"> – Compreende o ingresso proveniente da alienação de componentes do ativo permanente. Foram </w:t>
      </w:r>
      <w:r w:rsidRPr="00622AB6">
        <w:rPr>
          <w:rFonts w:ascii="Arial" w:hAnsi="Arial"/>
          <w:sz w:val="22"/>
        </w:rPr>
        <w:t xml:space="preserve">previstos R$ </w:t>
      </w:r>
      <w:r w:rsidR="00454F5F" w:rsidRPr="00454F5F">
        <w:rPr>
          <w:rFonts w:ascii="Arial" w:hAnsi="Arial"/>
          <w:sz w:val="22"/>
        </w:rPr>
        <w:t>361,2</w:t>
      </w:r>
      <w:r w:rsidRPr="00622AB6">
        <w:rPr>
          <w:rFonts w:ascii="Arial" w:hAnsi="Arial"/>
          <w:sz w:val="22"/>
        </w:rPr>
        <w:t xml:space="preserve"> milhões.</w:t>
      </w:r>
    </w:p>
    <w:p w:rsidR="00825D2C" w:rsidRDefault="00825D2C">
      <w:pPr>
        <w:tabs>
          <w:tab w:val="left" w:pos="426"/>
        </w:tabs>
        <w:spacing w:line="360" w:lineRule="auto"/>
        <w:jc w:val="both"/>
        <w:rPr>
          <w:rFonts w:ascii="Arial" w:hAnsi="Arial"/>
          <w:b/>
          <w:sz w:val="10"/>
          <w:szCs w:val="10"/>
        </w:rPr>
      </w:pPr>
    </w:p>
    <w:p w:rsidR="00825D2C" w:rsidRDefault="00825D2C">
      <w:pPr>
        <w:tabs>
          <w:tab w:val="left" w:pos="426"/>
        </w:tabs>
        <w:spacing w:line="360" w:lineRule="auto"/>
        <w:jc w:val="both"/>
        <w:rPr>
          <w:rFonts w:ascii="Arial" w:hAnsi="Arial"/>
          <w:sz w:val="22"/>
        </w:rPr>
      </w:pPr>
      <w:r w:rsidRPr="00663E6C">
        <w:rPr>
          <w:rFonts w:ascii="Arial" w:hAnsi="Arial"/>
          <w:b/>
          <w:sz w:val="22"/>
        </w:rPr>
        <w:t xml:space="preserve">Transferências de Capital </w:t>
      </w:r>
      <w:r w:rsidR="00E15C36" w:rsidRPr="00663E6C">
        <w:rPr>
          <w:rFonts w:ascii="Arial" w:hAnsi="Arial"/>
          <w:sz w:val="22"/>
        </w:rPr>
        <w:t>– Totalizando</w:t>
      </w:r>
      <w:r w:rsidR="00E15C36" w:rsidRPr="000C1885">
        <w:rPr>
          <w:rFonts w:ascii="Arial" w:hAnsi="Arial"/>
          <w:sz w:val="22"/>
        </w:rPr>
        <w:t xml:space="preserve"> </w:t>
      </w:r>
      <w:r w:rsidR="00E15C36" w:rsidRPr="00F0763F">
        <w:rPr>
          <w:rFonts w:ascii="Arial" w:hAnsi="Arial"/>
          <w:sz w:val="22"/>
        </w:rPr>
        <w:t>R$</w:t>
      </w:r>
      <w:r w:rsidR="00251BF7" w:rsidRPr="00F0763F">
        <w:rPr>
          <w:rFonts w:ascii="Arial" w:hAnsi="Arial"/>
          <w:sz w:val="22"/>
        </w:rPr>
        <w:t> </w:t>
      </w:r>
      <w:r w:rsidR="008A47D8">
        <w:rPr>
          <w:rFonts w:ascii="Arial" w:hAnsi="Arial"/>
          <w:sz w:val="22"/>
        </w:rPr>
        <w:t>350,0</w:t>
      </w:r>
      <w:r w:rsidR="00251BF7" w:rsidRPr="00F0763F">
        <w:rPr>
          <w:rFonts w:ascii="Arial" w:hAnsi="Arial"/>
          <w:sz w:val="22"/>
        </w:rPr>
        <w:t xml:space="preserve"> </w:t>
      </w:r>
      <w:r w:rsidR="008A47D8">
        <w:rPr>
          <w:rFonts w:ascii="Arial" w:hAnsi="Arial"/>
          <w:sz w:val="22"/>
        </w:rPr>
        <w:t>m</w:t>
      </w:r>
      <w:r w:rsidR="00251BF7" w:rsidRPr="00F0763F">
        <w:rPr>
          <w:rFonts w:ascii="Arial" w:hAnsi="Arial"/>
          <w:sz w:val="22"/>
        </w:rPr>
        <w:t>ilh</w:t>
      </w:r>
      <w:r w:rsidR="008A47D8">
        <w:rPr>
          <w:rFonts w:ascii="Arial" w:hAnsi="Arial"/>
          <w:sz w:val="22"/>
        </w:rPr>
        <w:t>ões</w:t>
      </w:r>
      <w:r w:rsidRPr="000C1885">
        <w:rPr>
          <w:rFonts w:ascii="Arial" w:hAnsi="Arial"/>
          <w:sz w:val="22"/>
        </w:rPr>
        <w:t xml:space="preserve">, estes recursos são oriundos principalmente de Transferências de Convênios, destacando as </w:t>
      </w:r>
      <w:r w:rsidRPr="00F0763F">
        <w:rPr>
          <w:rFonts w:ascii="Arial" w:hAnsi="Arial"/>
          <w:sz w:val="22"/>
        </w:rPr>
        <w:t xml:space="preserve">transferências de Convênios assinados ou a assinar com a União, que somam R$ </w:t>
      </w:r>
      <w:r w:rsidR="00B824B7">
        <w:rPr>
          <w:rFonts w:ascii="Arial" w:hAnsi="Arial"/>
          <w:sz w:val="22"/>
        </w:rPr>
        <w:t xml:space="preserve">313,0 </w:t>
      </w:r>
      <w:r w:rsidR="00E251B4">
        <w:rPr>
          <w:rFonts w:ascii="Arial" w:hAnsi="Arial"/>
          <w:sz w:val="22"/>
        </w:rPr>
        <w:t>m</w:t>
      </w:r>
      <w:r w:rsidR="00E251B4" w:rsidRPr="00F0763F">
        <w:rPr>
          <w:rFonts w:ascii="Arial" w:hAnsi="Arial"/>
          <w:sz w:val="22"/>
        </w:rPr>
        <w:t>ilh</w:t>
      </w:r>
      <w:r w:rsidR="00E251B4">
        <w:rPr>
          <w:rFonts w:ascii="Arial" w:hAnsi="Arial"/>
          <w:sz w:val="22"/>
        </w:rPr>
        <w:t>ões</w:t>
      </w:r>
      <w:r w:rsidRPr="00F0763F">
        <w:rPr>
          <w:rFonts w:ascii="Arial" w:hAnsi="Arial"/>
          <w:sz w:val="22"/>
        </w:rPr>
        <w:t>.</w:t>
      </w:r>
      <w:r w:rsidR="006F22ED" w:rsidRPr="000C1885">
        <w:rPr>
          <w:rFonts w:ascii="Arial" w:hAnsi="Arial"/>
          <w:sz w:val="22"/>
        </w:rPr>
        <w:t xml:space="preserve"> </w:t>
      </w:r>
    </w:p>
    <w:p w:rsidR="00825D2C" w:rsidRDefault="00825D2C"/>
    <w:p w:rsidR="00825D2C" w:rsidRDefault="00825D2C"/>
    <w:p w:rsidR="00825D2C" w:rsidRDefault="00825D2C"/>
    <w:p w:rsidR="00825D2C" w:rsidRDefault="00825D2C"/>
    <w:p w:rsidR="00825D2C" w:rsidRDefault="00825D2C"/>
    <w:p w:rsidR="00825D2C" w:rsidRDefault="00825D2C"/>
    <w:p w:rsidR="00825D2C" w:rsidRDefault="00825D2C"/>
    <w:p w:rsidR="004603CC" w:rsidRDefault="004603CC"/>
    <w:p w:rsidR="004603CC" w:rsidRDefault="004603CC"/>
    <w:p w:rsidR="004603CC" w:rsidRDefault="004603CC"/>
    <w:p w:rsidR="004603CC" w:rsidRDefault="004603CC"/>
    <w:p w:rsidR="004603CC" w:rsidRDefault="004603CC"/>
    <w:p w:rsidR="004603CC" w:rsidRDefault="004603CC"/>
    <w:p w:rsidR="004603CC" w:rsidRDefault="004603CC"/>
    <w:p w:rsidR="004603CC" w:rsidRDefault="004603CC"/>
    <w:p w:rsidR="004603CC" w:rsidRDefault="004603CC"/>
    <w:p w:rsidR="00F808E6" w:rsidRDefault="00F808E6"/>
    <w:p w:rsidR="00825D2C" w:rsidRDefault="00825D2C">
      <w:pPr>
        <w:jc w:val="center"/>
        <w:rPr>
          <w:rFonts w:ascii="Arial" w:hAnsi="Arial" w:cs="Arial"/>
          <w:b/>
          <w:sz w:val="22"/>
          <w:szCs w:val="22"/>
        </w:rPr>
      </w:pPr>
    </w:p>
    <w:p w:rsidR="00C67316" w:rsidRDefault="00C67316">
      <w:pPr>
        <w:jc w:val="center"/>
        <w:rPr>
          <w:rFonts w:ascii="Arial" w:hAnsi="Arial" w:cs="Arial"/>
          <w:b/>
          <w:sz w:val="22"/>
          <w:szCs w:val="22"/>
        </w:rPr>
      </w:pPr>
    </w:p>
    <w:p w:rsidR="00825D2C" w:rsidRDefault="00825D2C">
      <w:pPr>
        <w:jc w:val="center"/>
        <w:rPr>
          <w:rFonts w:ascii="Arial" w:hAnsi="Arial" w:cs="Arial"/>
          <w:b/>
          <w:sz w:val="22"/>
          <w:szCs w:val="22"/>
        </w:rPr>
      </w:pPr>
      <w:r>
        <w:rPr>
          <w:rFonts w:ascii="Arial" w:hAnsi="Arial" w:cs="Arial"/>
          <w:b/>
          <w:sz w:val="22"/>
          <w:szCs w:val="22"/>
        </w:rPr>
        <w:lastRenderedPageBreak/>
        <w:t>RECURSOS DE OUTRAS FONTES</w:t>
      </w:r>
    </w:p>
    <w:p w:rsidR="00825D2C" w:rsidRDefault="00825D2C">
      <w:pPr>
        <w:spacing w:line="360" w:lineRule="auto"/>
        <w:rPr>
          <w:rFonts w:ascii="Arial" w:hAnsi="Arial"/>
          <w:sz w:val="22"/>
        </w:rPr>
      </w:pPr>
    </w:p>
    <w:p w:rsidR="00825D2C" w:rsidRDefault="00825D2C">
      <w:pPr>
        <w:spacing w:line="360" w:lineRule="auto"/>
        <w:jc w:val="both"/>
        <w:rPr>
          <w:rFonts w:ascii="Arial" w:hAnsi="Arial"/>
          <w:sz w:val="22"/>
        </w:rPr>
      </w:pPr>
      <w:r>
        <w:rPr>
          <w:rFonts w:ascii="Arial" w:hAnsi="Arial"/>
          <w:sz w:val="22"/>
        </w:rPr>
        <w:t xml:space="preserve">Correspondem aos recursos diretamente arrecadados pelas autarquias, fundações, empresas públicas e sociedades de economia mista, </w:t>
      </w:r>
      <w:r w:rsidRPr="00C6349A">
        <w:rPr>
          <w:rFonts w:ascii="Arial" w:hAnsi="Arial"/>
          <w:sz w:val="22"/>
        </w:rPr>
        <w:t xml:space="preserve">estimados em R$ </w:t>
      </w:r>
      <w:r w:rsidR="000E3C2D" w:rsidRPr="000E3C2D">
        <w:rPr>
          <w:rFonts w:ascii="Arial" w:hAnsi="Arial"/>
          <w:sz w:val="22"/>
        </w:rPr>
        <w:t>5,3</w:t>
      </w:r>
      <w:r w:rsidR="000811F4">
        <w:rPr>
          <w:rFonts w:ascii="Arial" w:hAnsi="Arial"/>
          <w:sz w:val="22"/>
        </w:rPr>
        <w:t>99</w:t>
      </w:r>
      <w:r w:rsidRPr="00C6349A">
        <w:rPr>
          <w:rFonts w:ascii="Arial" w:hAnsi="Arial"/>
          <w:sz w:val="22"/>
        </w:rPr>
        <w:t xml:space="preserve"> bilhões.</w:t>
      </w:r>
    </w:p>
    <w:p w:rsidR="00825D2C" w:rsidRDefault="00825D2C">
      <w:pPr>
        <w:tabs>
          <w:tab w:val="left" w:pos="426"/>
        </w:tabs>
        <w:spacing w:line="360" w:lineRule="auto"/>
        <w:ind w:left="426" w:hanging="426"/>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Receitas de Contribuições</w:t>
      </w:r>
      <w:r>
        <w:rPr>
          <w:rFonts w:ascii="Arial" w:hAnsi="Arial"/>
          <w:sz w:val="22"/>
        </w:rPr>
        <w:t xml:space="preserve"> </w:t>
      </w:r>
      <w:r>
        <w:t xml:space="preserve">– </w:t>
      </w:r>
      <w:r>
        <w:rPr>
          <w:rFonts w:ascii="Arial" w:hAnsi="Arial"/>
          <w:sz w:val="22"/>
        </w:rPr>
        <w:t xml:space="preserve">Essas receitas, estimadas em </w:t>
      </w:r>
      <w:r w:rsidRPr="00C6349A">
        <w:rPr>
          <w:rFonts w:ascii="Arial" w:hAnsi="Arial"/>
          <w:sz w:val="22"/>
        </w:rPr>
        <w:t xml:space="preserve">R$ </w:t>
      </w:r>
      <w:r w:rsidR="002D233D" w:rsidRPr="002D233D">
        <w:rPr>
          <w:rFonts w:ascii="Arial" w:hAnsi="Arial"/>
          <w:sz w:val="22"/>
        </w:rPr>
        <w:t>3,576</w:t>
      </w:r>
      <w:r w:rsidRPr="00C6349A">
        <w:rPr>
          <w:rFonts w:ascii="Arial" w:hAnsi="Arial"/>
          <w:sz w:val="22"/>
        </w:rPr>
        <w:t xml:space="preserve"> bilh</w:t>
      </w:r>
      <w:r w:rsidR="00765DD5" w:rsidRPr="00C6349A">
        <w:rPr>
          <w:rFonts w:ascii="Arial" w:hAnsi="Arial"/>
          <w:sz w:val="22"/>
        </w:rPr>
        <w:t>ões</w:t>
      </w:r>
      <w:r w:rsidRPr="00C6349A">
        <w:rPr>
          <w:rFonts w:ascii="Arial" w:hAnsi="Arial"/>
          <w:sz w:val="22"/>
        </w:rPr>
        <w:t>, são pr</w:t>
      </w:r>
      <w:r>
        <w:rPr>
          <w:rFonts w:ascii="Arial" w:hAnsi="Arial"/>
          <w:sz w:val="22"/>
        </w:rPr>
        <w:t>ovenientes das contribuições dos servidores para o custeio do seu sistema próprio de previdência, além da contribuição patronal</w:t>
      </w:r>
      <w:r w:rsidR="005B2F04">
        <w:rPr>
          <w:rFonts w:ascii="Arial" w:hAnsi="Arial"/>
          <w:sz w:val="22"/>
        </w:rPr>
        <w:t xml:space="preserve">, da </w:t>
      </w:r>
      <w:r w:rsidR="005B2F04" w:rsidRPr="005B2F04">
        <w:rPr>
          <w:rFonts w:ascii="Arial" w:hAnsi="Arial"/>
          <w:sz w:val="22"/>
        </w:rPr>
        <w:t>contribuição suplementar</w:t>
      </w:r>
      <w:r w:rsidR="005B2F04">
        <w:rPr>
          <w:rFonts w:ascii="Arial" w:hAnsi="Arial"/>
          <w:sz w:val="22"/>
        </w:rPr>
        <w:t xml:space="preserve"> </w:t>
      </w:r>
      <w:r>
        <w:rPr>
          <w:rFonts w:ascii="Arial" w:hAnsi="Arial"/>
          <w:sz w:val="22"/>
        </w:rPr>
        <w:t>e dos recursos aportados pelo Tesouro Municipal e pelos servidores para formação do Fundo de Assistência à Saúde do Servidor.</w:t>
      </w:r>
    </w:p>
    <w:p w:rsidR="00825D2C" w:rsidRDefault="00825D2C">
      <w:pPr>
        <w:tabs>
          <w:tab w:val="left" w:pos="426"/>
        </w:tabs>
        <w:spacing w:line="360" w:lineRule="auto"/>
        <w:ind w:left="426" w:hanging="426"/>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Receita Patrimonial</w:t>
      </w:r>
      <w:r>
        <w:rPr>
          <w:rFonts w:ascii="Arial" w:hAnsi="Arial"/>
          <w:sz w:val="22"/>
        </w:rPr>
        <w:t xml:space="preserve"> – As receitas patrimoniais estão estimadas </w:t>
      </w:r>
      <w:r w:rsidRPr="00CF7387">
        <w:rPr>
          <w:rFonts w:ascii="Arial" w:hAnsi="Arial"/>
          <w:sz w:val="22"/>
        </w:rPr>
        <w:t xml:space="preserve">em R$ </w:t>
      </w:r>
      <w:r w:rsidR="0069071D" w:rsidRPr="0069071D">
        <w:rPr>
          <w:rFonts w:ascii="Arial" w:hAnsi="Arial"/>
          <w:sz w:val="22"/>
        </w:rPr>
        <w:t xml:space="preserve">91,4 </w:t>
      </w:r>
      <w:r w:rsidRPr="00CF7387">
        <w:rPr>
          <w:rFonts w:ascii="Arial" w:hAnsi="Arial"/>
          <w:sz w:val="22"/>
        </w:rPr>
        <w:t>milhões, onde</w:t>
      </w:r>
      <w:r>
        <w:rPr>
          <w:rFonts w:ascii="Arial" w:hAnsi="Arial"/>
          <w:sz w:val="22"/>
        </w:rPr>
        <w:t xml:space="preserve"> se destacam </w:t>
      </w:r>
      <w:r w:rsidR="00406BF7">
        <w:rPr>
          <w:rFonts w:ascii="Arial" w:hAnsi="Arial"/>
          <w:sz w:val="22"/>
        </w:rPr>
        <w:t xml:space="preserve">R$ </w:t>
      </w:r>
      <w:r w:rsidR="0069071D">
        <w:rPr>
          <w:rFonts w:ascii="Arial" w:hAnsi="Arial"/>
          <w:sz w:val="22"/>
        </w:rPr>
        <w:t>39,4</w:t>
      </w:r>
      <w:r w:rsidR="00BC1C9B">
        <w:rPr>
          <w:rFonts w:ascii="Arial" w:hAnsi="Arial"/>
          <w:sz w:val="22"/>
        </w:rPr>
        <w:t xml:space="preserve"> milhões</w:t>
      </w:r>
      <w:r w:rsidRPr="00A42F1C">
        <w:rPr>
          <w:rFonts w:ascii="Arial" w:hAnsi="Arial"/>
          <w:sz w:val="22"/>
        </w:rPr>
        <w:t xml:space="preserve"> provenientes </w:t>
      </w:r>
      <w:r w:rsidR="0069071D" w:rsidRPr="00A42F1C">
        <w:rPr>
          <w:rFonts w:ascii="Arial" w:hAnsi="Arial"/>
          <w:sz w:val="22"/>
        </w:rPr>
        <w:t>de juros de empréstimos de financiamentos imobiliários</w:t>
      </w:r>
      <w:r w:rsidR="0069071D">
        <w:rPr>
          <w:rFonts w:ascii="Arial" w:hAnsi="Arial"/>
          <w:sz w:val="22"/>
        </w:rPr>
        <w:t xml:space="preserve"> e as receitas do FUNPREVI</w:t>
      </w:r>
      <w:r w:rsidR="006D71EF">
        <w:rPr>
          <w:rFonts w:ascii="Arial" w:hAnsi="Arial"/>
          <w:sz w:val="22"/>
        </w:rPr>
        <w:t xml:space="preserve"> com</w:t>
      </w:r>
      <w:r w:rsidR="0069071D">
        <w:rPr>
          <w:rFonts w:ascii="Arial" w:hAnsi="Arial"/>
          <w:sz w:val="22"/>
        </w:rPr>
        <w:t xml:space="preserve"> alugueis</w:t>
      </w:r>
      <w:r w:rsidRPr="00A42F1C">
        <w:rPr>
          <w:rFonts w:ascii="Arial" w:hAnsi="Arial"/>
          <w:sz w:val="22"/>
        </w:rPr>
        <w:t>.</w:t>
      </w:r>
    </w:p>
    <w:p w:rsidR="00825D2C" w:rsidRDefault="00825D2C">
      <w:pPr>
        <w:tabs>
          <w:tab w:val="left" w:pos="426"/>
        </w:tabs>
        <w:spacing w:line="360" w:lineRule="auto"/>
        <w:ind w:left="426" w:hanging="426"/>
        <w:jc w:val="both"/>
        <w:rPr>
          <w:rFonts w:ascii="Arial" w:hAnsi="Arial"/>
          <w:b/>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 xml:space="preserve">Receita Industrial </w:t>
      </w:r>
      <w:r>
        <w:t xml:space="preserve">– </w:t>
      </w:r>
      <w:r>
        <w:rPr>
          <w:rFonts w:ascii="Arial" w:hAnsi="Arial"/>
          <w:sz w:val="22"/>
        </w:rPr>
        <w:t xml:space="preserve">Estes recursos, </w:t>
      </w:r>
      <w:r w:rsidRPr="00BE23B1">
        <w:rPr>
          <w:rFonts w:ascii="Arial" w:hAnsi="Arial"/>
          <w:sz w:val="22"/>
        </w:rPr>
        <w:t xml:space="preserve">estimados em R$ </w:t>
      </w:r>
      <w:r w:rsidR="008375FC" w:rsidRPr="008375FC">
        <w:rPr>
          <w:rFonts w:ascii="Arial" w:hAnsi="Arial"/>
          <w:sz w:val="22"/>
        </w:rPr>
        <w:t xml:space="preserve">11,5 </w:t>
      </w:r>
      <w:r w:rsidRPr="00BE23B1">
        <w:rPr>
          <w:rFonts w:ascii="Arial" w:hAnsi="Arial"/>
          <w:sz w:val="22"/>
        </w:rPr>
        <w:t>milhões, são os provenientes de serviços executados pela Empresa Municipal de Artes Gráficas.</w:t>
      </w:r>
    </w:p>
    <w:p w:rsidR="00825D2C" w:rsidRDefault="00825D2C">
      <w:pPr>
        <w:tabs>
          <w:tab w:val="left" w:pos="426"/>
        </w:tabs>
        <w:spacing w:line="360" w:lineRule="auto"/>
        <w:ind w:left="426" w:hanging="426"/>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Receita de Serviços</w:t>
      </w:r>
      <w:r>
        <w:rPr>
          <w:rFonts w:ascii="Arial" w:hAnsi="Arial"/>
          <w:sz w:val="22"/>
        </w:rPr>
        <w:t xml:space="preserve"> </w:t>
      </w:r>
      <w:r>
        <w:t xml:space="preserve">– </w:t>
      </w:r>
      <w:r>
        <w:rPr>
          <w:rFonts w:ascii="Arial" w:hAnsi="Arial"/>
          <w:sz w:val="22"/>
        </w:rPr>
        <w:t xml:space="preserve">Neste grupo, que </w:t>
      </w:r>
      <w:r w:rsidRPr="00B62018">
        <w:rPr>
          <w:rFonts w:ascii="Arial" w:hAnsi="Arial"/>
          <w:sz w:val="22"/>
        </w:rPr>
        <w:t xml:space="preserve">soma R$ </w:t>
      </w:r>
      <w:r w:rsidR="008375FC" w:rsidRPr="008375FC">
        <w:rPr>
          <w:rFonts w:ascii="Arial" w:hAnsi="Arial"/>
          <w:sz w:val="22"/>
        </w:rPr>
        <w:t>370,9</w:t>
      </w:r>
      <w:r w:rsidRPr="00B62018">
        <w:rPr>
          <w:rFonts w:ascii="Arial" w:hAnsi="Arial"/>
          <w:sz w:val="22"/>
        </w:rPr>
        <w:t xml:space="preserve"> milhões,</w:t>
      </w:r>
      <w:r>
        <w:rPr>
          <w:rFonts w:ascii="Arial" w:hAnsi="Arial"/>
          <w:sz w:val="22"/>
        </w:rPr>
        <w:t xml:space="preserve"> encontram-se as receitas oriundas de serviços prestados pelas entidades que compõem a administração indireta do Município. </w:t>
      </w:r>
      <w:proofErr w:type="gramStart"/>
      <w:r w:rsidRPr="00D53593">
        <w:rPr>
          <w:rFonts w:ascii="Arial" w:hAnsi="Arial"/>
          <w:sz w:val="22"/>
        </w:rPr>
        <w:t>Têm</w:t>
      </w:r>
      <w:proofErr w:type="gramEnd"/>
      <w:r w:rsidRPr="00D53593">
        <w:rPr>
          <w:rFonts w:ascii="Arial" w:hAnsi="Arial"/>
          <w:sz w:val="22"/>
        </w:rPr>
        <w:t xml:space="preserve"> participação expressiva na composição do total a receita proveniente de serviços administrativos prestados pelo PREVI-RIO, estimada em R$ </w:t>
      </w:r>
      <w:r w:rsidR="008375FC">
        <w:rPr>
          <w:rFonts w:ascii="Arial" w:hAnsi="Arial"/>
          <w:sz w:val="22"/>
        </w:rPr>
        <w:t>103,1</w:t>
      </w:r>
      <w:r w:rsidRPr="00D53593">
        <w:rPr>
          <w:rFonts w:ascii="Arial" w:hAnsi="Arial"/>
          <w:sz w:val="22"/>
        </w:rPr>
        <w:t xml:space="preserve"> milhões</w:t>
      </w:r>
      <w:r w:rsidR="000700BD" w:rsidRPr="00D53593">
        <w:rPr>
          <w:rFonts w:ascii="Arial" w:hAnsi="Arial"/>
          <w:sz w:val="22"/>
        </w:rPr>
        <w:t xml:space="preserve"> e</w:t>
      </w:r>
      <w:r w:rsidRPr="00D53593">
        <w:rPr>
          <w:rFonts w:ascii="Arial" w:hAnsi="Arial"/>
          <w:sz w:val="22"/>
        </w:rPr>
        <w:t xml:space="preserve"> a receita de serviços de limpeza e</w:t>
      </w:r>
      <w:r w:rsidR="00B62018" w:rsidRPr="00D53593">
        <w:rPr>
          <w:rFonts w:ascii="Arial" w:hAnsi="Arial"/>
          <w:sz w:val="22"/>
        </w:rPr>
        <w:t xml:space="preserve"> higienização das unidades educacionais </w:t>
      </w:r>
      <w:r w:rsidRPr="00D53593">
        <w:rPr>
          <w:rFonts w:ascii="Arial" w:hAnsi="Arial"/>
          <w:sz w:val="22"/>
        </w:rPr>
        <w:t>arrecadada pela COMLURB e</w:t>
      </w:r>
      <w:r w:rsidR="007C271A">
        <w:rPr>
          <w:rFonts w:ascii="Arial" w:hAnsi="Arial"/>
          <w:sz w:val="22"/>
        </w:rPr>
        <w:t xml:space="preserve"> estimada em R$ </w:t>
      </w:r>
      <w:r w:rsidR="008375FC">
        <w:rPr>
          <w:rFonts w:ascii="Arial" w:hAnsi="Arial"/>
          <w:sz w:val="22"/>
        </w:rPr>
        <w:t>99,7</w:t>
      </w:r>
      <w:r w:rsidR="000700BD" w:rsidRPr="00D53593">
        <w:rPr>
          <w:rFonts w:ascii="Arial" w:hAnsi="Arial"/>
          <w:sz w:val="22"/>
        </w:rPr>
        <w:t xml:space="preserve"> milhões.</w:t>
      </w:r>
    </w:p>
    <w:p w:rsidR="00FF2878" w:rsidRPr="00FF2878" w:rsidRDefault="00FF2878" w:rsidP="00FF2878">
      <w:pPr>
        <w:tabs>
          <w:tab w:val="left" w:pos="426"/>
        </w:tabs>
        <w:spacing w:line="360" w:lineRule="auto"/>
        <w:ind w:left="426" w:hanging="426"/>
        <w:rPr>
          <w:rFonts w:ascii="Arial" w:hAnsi="Arial"/>
          <w:sz w:val="10"/>
          <w:szCs w:val="10"/>
        </w:rPr>
      </w:pPr>
    </w:p>
    <w:p w:rsidR="00FF2878" w:rsidRDefault="00FF2878">
      <w:pPr>
        <w:tabs>
          <w:tab w:val="left" w:pos="426"/>
        </w:tabs>
        <w:spacing w:line="360" w:lineRule="auto"/>
        <w:jc w:val="both"/>
        <w:rPr>
          <w:rFonts w:ascii="Arial" w:hAnsi="Arial"/>
          <w:sz w:val="22"/>
        </w:rPr>
      </w:pPr>
      <w:r w:rsidRPr="002B7D20">
        <w:rPr>
          <w:rFonts w:ascii="Arial" w:hAnsi="Arial"/>
          <w:b/>
          <w:sz w:val="22"/>
        </w:rPr>
        <w:t>Transferências Correntes</w:t>
      </w:r>
      <w:r w:rsidRPr="00491EC2">
        <w:rPr>
          <w:rFonts w:ascii="Arial" w:hAnsi="Arial"/>
          <w:sz w:val="22"/>
        </w:rPr>
        <w:t xml:space="preserve"> – As Transferências Co</w:t>
      </w:r>
      <w:r w:rsidR="00120B75" w:rsidRPr="00491EC2">
        <w:rPr>
          <w:rFonts w:ascii="Arial" w:hAnsi="Arial"/>
          <w:sz w:val="22"/>
        </w:rPr>
        <w:t xml:space="preserve">rrentes foram estimadas em R$ </w:t>
      </w:r>
      <w:r w:rsidR="0035752A">
        <w:rPr>
          <w:rFonts w:ascii="Arial" w:hAnsi="Arial"/>
          <w:sz w:val="22"/>
        </w:rPr>
        <w:t>119,7</w:t>
      </w:r>
      <w:r w:rsidRPr="00491EC2">
        <w:rPr>
          <w:rFonts w:ascii="Arial" w:hAnsi="Arial"/>
          <w:sz w:val="22"/>
        </w:rPr>
        <w:t xml:space="preserve"> milhões e compreendem, principalmente, os convênios da RIOSAUDE.</w:t>
      </w:r>
    </w:p>
    <w:p w:rsidR="00825D2C" w:rsidRDefault="00825D2C">
      <w:pPr>
        <w:tabs>
          <w:tab w:val="left" w:pos="426"/>
        </w:tabs>
        <w:spacing w:line="360" w:lineRule="auto"/>
        <w:ind w:left="426" w:hanging="426"/>
        <w:jc w:val="both"/>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 xml:space="preserve">Outras Receitas Correntes </w:t>
      </w:r>
      <w:r>
        <w:t xml:space="preserve">– </w:t>
      </w:r>
      <w:r>
        <w:rPr>
          <w:rFonts w:ascii="Arial" w:hAnsi="Arial"/>
          <w:sz w:val="22"/>
        </w:rPr>
        <w:t xml:space="preserve">São estimados </w:t>
      </w:r>
      <w:r w:rsidRPr="00A14238">
        <w:rPr>
          <w:rFonts w:ascii="Arial" w:hAnsi="Arial"/>
          <w:sz w:val="22"/>
        </w:rPr>
        <w:t xml:space="preserve">R$ </w:t>
      </w:r>
      <w:r w:rsidR="001C6A4D">
        <w:rPr>
          <w:rFonts w:ascii="Arial" w:hAnsi="Arial"/>
          <w:sz w:val="22"/>
        </w:rPr>
        <w:t>507,6</w:t>
      </w:r>
      <w:r w:rsidRPr="00A14238">
        <w:rPr>
          <w:rFonts w:ascii="Arial" w:hAnsi="Arial"/>
          <w:sz w:val="22"/>
        </w:rPr>
        <w:t xml:space="preserve"> milhões, provenientes</w:t>
      </w:r>
      <w:r>
        <w:rPr>
          <w:rFonts w:ascii="Arial" w:hAnsi="Arial"/>
          <w:sz w:val="22"/>
        </w:rPr>
        <w:t>, principalmente, d</w:t>
      </w:r>
      <w:r w:rsidR="00A14238">
        <w:rPr>
          <w:rFonts w:ascii="Arial" w:hAnsi="Arial"/>
          <w:sz w:val="22"/>
        </w:rPr>
        <w:t>o repasse de Royalties para o FUNPREVI</w:t>
      </w:r>
      <w:r>
        <w:rPr>
          <w:rFonts w:ascii="Arial" w:hAnsi="Arial"/>
          <w:sz w:val="22"/>
        </w:rPr>
        <w:t>.</w:t>
      </w:r>
    </w:p>
    <w:p w:rsidR="00825D2C" w:rsidRDefault="00825D2C">
      <w:pPr>
        <w:tabs>
          <w:tab w:val="left" w:pos="426"/>
        </w:tabs>
        <w:spacing w:line="360" w:lineRule="auto"/>
        <w:ind w:left="426" w:hanging="426"/>
        <w:jc w:val="both"/>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Alienação de Bens</w:t>
      </w:r>
      <w:r>
        <w:rPr>
          <w:rFonts w:ascii="Arial" w:hAnsi="Arial"/>
          <w:sz w:val="22"/>
        </w:rPr>
        <w:t xml:space="preserve"> </w:t>
      </w:r>
      <w:r>
        <w:t xml:space="preserve">– </w:t>
      </w:r>
      <w:r>
        <w:rPr>
          <w:rFonts w:ascii="Arial" w:hAnsi="Arial"/>
          <w:sz w:val="22"/>
        </w:rPr>
        <w:t>Estão previstos R</w:t>
      </w:r>
      <w:r w:rsidRPr="00A14238">
        <w:rPr>
          <w:rFonts w:ascii="Arial" w:hAnsi="Arial"/>
          <w:sz w:val="22"/>
        </w:rPr>
        <w:t xml:space="preserve">$ </w:t>
      </w:r>
      <w:r w:rsidR="001C6A4D">
        <w:rPr>
          <w:rFonts w:ascii="Arial" w:hAnsi="Arial"/>
          <w:sz w:val="22"/>
        </w:rPr>
        <w:t>307,5</w:t>
      </w:r>
      <w:r w:rsidR="002003BC" w:rsidRPr="00A14238">
        <w:rPr>
          <w:rFonts w:ascii="Arial" w:hAnsi="Arial"/>
          <w:sz w:val="22"/>
        </w:rPr>
        <w:t xml:space="preserve"> mil</w:t>
      </w:r>
      <w:r w:rsidR="00FE1567" w:rsidRPr="00A14238">
        <w:rPr>
          <w:rFonts w:ascii="Arial" w:hAnsi="Arial"/>
          <w:sz w:val="22"/>
        </w:rPr>
        <w:t>hões</w:t>
      </w:r>
      <w:r w:rsidRPr="00A14238">
        <w:rPr>
          <w:rFonts w:ascii="Arial" w:hAnsi="Arial"/>
          <w:sz w:val="22"/>
        </w:rPr>
        <w:t xml:space="preserve"> de receitas</w:t>
      </w:r>
      <w:r>
        <w:rPr>
          <w:rFonts w:ascii="Arial" w:hAnsi="Arial"/>
          <w:sz w:val="22"/>
        </w:rPr>
        <w:t xml:space="preserve"> de alienação de bens, destacando-se a alienação de </w:t>
      </w:r>
      <w:r w:rsidR="00FE1567">
        <w:rPr>
          <w:rFonts w:ascii="Arial" w:hAnsi="Arial"/>
          <w:sz w:val="22"/>
        </w:rPr>
        <w:t xml:space="preserve">bens </w:t>
      </w:r>
      <w:r w:rsidR="00CD5399">
        <w:rPr>
          <w:rFonts w:ascii="Arial" w:hAnsi="Arial"/>
          <w:sz w:val="22"/>
        </w:rPr>
        <w:t>i</w:t>
      </w:r>
      <w:r w:rsidR="00FE1567">
        <w:rPr>
          <w:rFonts w:ascii="Arial" w:hAnsi="Arial"/>
          <w:sz w:val="22"/>
        </w:rPr>
        <w:t xml:space="preserve">móveis </w:t>
      </w:r>
      <w:r w:rsidR="00FE1567" w:rsidRPr="00C10243">
        <w:rPr>
          <w:rFonts w:ascii="Arial" w:hAnsi="Arial"/>
          <w:sz w:val="22"/>
        </w:rPr>
        <w:t>d</w:t>
      </w:r>
      <w:r w:rsidR="00362294" w:rsidRPr="00C10243">
        <w:rPr>
          <w:rFonts w:ascii="Arial" w:hAnsi="Arial"/>
          <w:sz w:val="22"/>
        </w:rPr>
        <w:t>o</w:t>
      </w:r>
      <w:r w:rsidR="00FE1567" w:rsidRPr="00C10243">
        <w:rPr>
          <w:rFonts w:ascii="Arial" w:hAnsi="Arial"/>
          <w:sz w:val="22"/>
        </w:rPr>
        <w:t xml:space="preserve"> </w:t>
      </w:r>
      <w:r w:rsidR="00362294" w:rsidRPr="00C10243">
        <w:rPr>
          <w:rFonts w:ascii="Arial" w:hAnsi="Arial"/>
          <w:sz w:val="22"/>
        </w:rPr>
        <w:t>FUNPREVI</w:t>
      </w:r>
      <w:r w:rsidRPr="00C10243">
        <w:rPr>
          <w:rFonts w:ascii="Arial" w:hAnsi="Arial"/>
          <w:sz w:val="22"/>
        </w:rPr>
        <w:t>.</w:t>
      </w:r>
    </w:p>
    <w:p w:rsidR="00825D2C" w:rsidRDefault="00825D2C">
      <w:pPr>
        <w:tabs>
          <w:tab w:val="left" w:pos="426"/>
        </w:tabs>
        <w:spacing w:line="360" w:lineRule="auto"/>
        <w:ind w:left="426" w:hanging="426"/>
        <w:jc w:val="both"/>
        <w:rPr>
          <w:rFonts w:ascii="Arial" w:hAnsi="Arial"/>
          <w:sz w:val="10"/>
          <w:szCs w:val="10"/>
        </w:rPr>
      </w:pPr>
    </w:p>
    <w:p w:rsidR="00825D2C" w:rsidRDefault="00825D2C">
      <w:pPr>
        <w:tabs>
          <w:tab w:val="left" w:pos="426"/>
        </w:tabs>
        <w:spacing w:line="360" w:lineRule="auto"/>
        <w:jc w:val="both"/>
        <w:rPr>
          <w:rFonts w:ascii="Arial" w:hAnsi="Arial"/>
          <w:sz w:val="22"/>
        </w:rPr>
      </w:pPr>
      <w:r>
        <w:rPr>
          <w:rFonts w:ascii="Arial" w:hAnsi="Arial"/>
          <w:b/>
          <w:sz w:val="22"/>
        </w:rPr>
        <w:t xml:space="preserve">Amortização de Empréstimos </w:t>
      </w:r>
      <w:r>
        <w:t xml:space="preserve">– </w:t>
      </w:r>
      <w:r w:rsidRPr="006B696B">
        <w:rPr>
          <w:rFonts w:ascii="Arial" w:hAnsi="Arial" w:cs="Arial"/>
        </w:rPr>
        <w:t>E</w:t>
      </w:r>
      <w:r w:rsidRPr="006B696B">
        <w:rPr>
          <w:rFonts w:ascii="Arial" w:hAnsi="Arial"/>
          <w:sz w:val="22"/>
        </w:rPr>
        <w:t xml:space="preserve">stimada em R$ </w:t>
      </w:r>
      <w:r w:rsidR="000F47D8">
        <w:rPr>
          <w:rFonts w:ascii="Arial" w:hAnsi="Arial"/>
          <w:sz w:val="22"/>
        </w:rPr>
        <w:t>91,9</w:t>
      </w:r>
      <w:r w:rsidRPr="006B696B">
        <w:rPr>
          <w:rFonts w:ascii="Arial" w:hAnsi="Arial"/>
          <w:sz w:val="22"/>
        </w:rPr>
        <w:t xml:space="preserve"> milhões e compreende, principalmente, as receitas do </w:t>
      </w:r>
      <w:r w:rsidR="000F47D8">
        <w:rPr>
          <w:rFonts w:ascii="Arial" w:hAnsi="Arial"/>
          <w:sz w:val="22"/>
        </w:rPr>
        <w:t>FUNPREVI</w:t>
      </w:r>
      <w:r w:rsidRPr="006B696B">
        <w:rPr>
          <w:rFonts w:ascii="Arial" w:hAnsi="Arial"/>
          <w:sz w:val="22"/>
        </w:rPr>
        <w:t xml:space="preserve"> provenientes de retornos de financiamentos</w:t>
      </w:r>
      <w:r w:rsidR="00BA3B85">
        <w:rPr>
          <w:rFonts w:ascii="Arial" w:hAnsi="Arial"/>
          <w:sz w:val="22"/>
        </w:rPr>
        <w:t xml:space="preserve"> por ele concedidos</w:t>
      </w:r>
      <w:r w:rsidRPr="006B696B">
        <w:rPr>
          <w:rFonts w:ascii="Arial" w:hAnsi="Arial"/>
          <w:sz w:val="22"/>
        </w:rPr>
        <w:t>.</w:t>
      </w:r>
      <w:r>
        <w:rPr>
          <w:rFonts w:ascii="Arial" w:hAnsi="Arial"/>
          <w:sz w:val="22"/>
        </w:rPr>
        <w:t xml:space="preserve"> </w:t>
      </w:r>
    </w:p>
    <w:p w:rsidR="00F11A24" w:rsidRPr="00FF2878" w:rsidRDefault="00F11A24" w:rsidP="00FF2878">
      <w:pPr>
        <w:tabs>
          <w:tab w:val="left" w:pos="426"/>
        </w:tabs>
        <w:spacing w:line="360" w:lineRule="auto"/>
        <w:ind w:left="426" w:hanging="426"/>
        <w:jc w:val="both"/>
        <w:rPr>
          <w:rFonts w:ascii="Arial" w:hAnsi="Arial"/>
          <w:sz w:val="10"/>
          <w:szCs w:val="10"/>
        </w:rPr>
      </w:pPr>
    </w:p>
    <w:p w:rsidR="00A77FE1" w:rsidRDefault="00E26990" w:rsidP="00A77FE1">
      <w:pPr>
        <w:tabs>
          <w:tab w:val="left" w:pos="426"/>
        </w:tabs>
        <w:spacing w:line="360" w:lineRule="auto"/>
        <w:jc w:val="both"/>
        <w:rPr>
          <w:rFonts w:ascii="Arial" w:hAnsi="Arial"/>
          <w:sz w:val="22"/>
        </w:rPr>
      </w:pPr>
      <w:r w:rsidRPr="00A77FE1">
        <w:rPr>
          <w:rFonts w:ascii="Arial" w:hAnsi="Arial"/>
          <w:b/>
          <w:sz w:val="22"/>
        </w:rPr>
        <w:t xml:space="preserve">Transferências de Capital </w:t>
      </w:r>
      <w:r w:rsidRPr="00A77FE1">
        <w:rPr>
          <w:rFonts w:ascii="Arial" w:hAnsi="Arial"/>
          <w:sz w:val="22"/>
        </w:rPr>
        <w:t xml:space="preserve">– </w:t>
      </w:r>
      <w:r w:rsidRPr="00CC6637">
        <w:rPr>
          <w:rFonts w:ascii="Arial" w:hAnsi="Arial"/>
          <w:sz w:val="22"/>
        </w:rPr>
        <w:t>Totalizando R$</w:t>
      </w:r>
      <w:r w:rsidR="00CC6637" w:rsidRPr="00CC6637">
        <w:rPr>
          <w:rFonts w:ascii="Arial" w:hAnsi="Arial"/>
          <w:sz w:val="22"/>
        </w:rPr>
        <w:t> </w:t>
      </w:r>
      <w:r w:rsidR="000F47D8">
        <w:rPr>
          <w:rFonts w:ascii="Arial" w:hAnsi="Arial"/>
          <w:sz w:val="22"/>
        </w:rPr>
        <w:t>0,1</w:t>
      </w:r>
      <w:r w:rsidR="00702A90">
        <w:rPr>
          <w:rFonts w:ascii="Arial" w:hAnsi="Arial"/>
          <w:sz w:val="22"/>
        </w:rPr>
        <w:t>3</w:t>
      </w:r>
      <w:r w:rsidR="00B37116" w:rsidRPr="00CC6637">
        <w:rPr>
          <w:rFonts w:ascii="Arial" w:hAnsi="Arial"/>
          <w:sz w:val="22"/>
        </w:rPr>
        <w:t> </w:t>
      </w:r>
      <w:r w:rsidRPr="00CC6637">
        <w:rPr>
          <w:rFonts w:ascii="Arial" w:hAnsi="Arial"/>
          <w:sz w:val="22"/>
        </w:rPr>
        <w:t>milh</w:t>
      </w:r>
      <w:r w:rsidR="007417DC">
        <w:rPr>
          <w:rFonts w:ascii="Arial" w:hAnsi="Arial"/>
          <w:sz w:val="22"/>
        </w:rPr>
        <w:t>ão</w:t>
      </w:r>
      <w:r w:rsidRPr="00CC6637">
        <w:rPr>
          <w:rFonts w:ascii="Arial" w:hAnsi="Arial"/>
          <w:sz w:val="22"/>
        </w:rPr>
        <w:t>,</w:t>
      </w:r>
      <w:r w:rsidRPr="00A77FE1">
        <w:rPr>
          <w:rFonts w:ascii="Arial" w:hAnsi="Arial"/>
          <w:sz w:val="22"/>
        </w:rPr>
        <w:t xml:space="preserve"> estes recursos são oriundos </w:t>
      </w:r>
      <w:r w:rsidR="00A77FE1" w:rsidRPr="00A77FE1">
        <w:rPr>
          <w:rFonts w:ascii="Arial" w:hAnsi="Arial"/>
          <w:sz w:val="22"/>
        </w:rPr>
        <w:t xml:space="preserve">das Transferências de Convênios </w:t>
      </w:r>
      <w:r w:rsidR="00A77FE1">
        <w:rPr>
          <w:rFonts w:ascii="Arial" w:hAnsi="Arial"/>
          <w:sz w:val="22"/>
        </w:rPr>
        <w:t>recebidas pelas autarquias, fundações e empresas.</w:t>
      </w:r>
    </w:p>
    <w:p w:rsidR="00E26990" w:rsidRPr="00FF2878" w:rsidRDefault="00E26990" w:rsidP="00FF2878">
      <w:pPr>
        <w:tabs>
          <w:tab w:val="left" w:pos="426"/>
        </w:tabs>
        <w:spacing w:line="360" w:lineRule="auto"/>
        <w:ind w:left="426" w:hanging="426"/>
        <w:jc w:val="both"/>
        <w:rPr>
          <w:rFonts w:ascii="Arial" w:hAnsi="Arial"/>
          <w:sz w:val="10"/>
          <w:szCs w:val="10"/>
        </w:rPr>
      </w:pPr>
    </w:p>
    <w:p w:rsidR="00825D2C" w:rsidRDefault="00825D2C" w:rsidP="00C81D6D">
      <w:pPr>
        <w:tabs>
          <w:tab w:val="left" w:pos="426"/>
        </w:tabs>
        <w:spacing w:line="360" w:lineRule="auto"/>
        <w:jc w:val="both"/>
        <w:rPr>
          <w:rFonts w:ascii="Arial" w:hAnsi="Arial"/>
          <w:sz w:val="22"/>
        </w:rPr>
      </w:pPr>
      <w:r w:rsidRPr="00050B8E">
        <w:rPr>
          <w:rFonts w:ascii="Arial" w:hAnsi="Arial"/>
          <w:b/>
          <w:sz w:val="22"/>
        </w:rPr>
        <w:t xml:space="preserve">Outras Receitas de Capital </w:t>
      </w:r>
      <w:r w:rsidRPr="00050B8E">
        <w:t xml:space="preserve">– </w:t>
      </w:r>
      <w:r w:rsidRPr="00050B8E">
        <w:rPr>
          <w:rFonts w:ascii="Arial" w:hAnsi="Arial"/>
          <w:sz w:val="22"/>
        </w:rPr>
        <w:t>Esta</w:t>
      </w:r>
      <w:r w:rsidRPr="00146269">
        <w:rPr>
          <w:rFonts w:ascii="Arial" w:hAnsi="Arial"/>
          <w:sz w:val="22"/>
        </w:rPr>
        <w:t xml:space="preserve"> receita de capital está estimada em R$ </w:t>
      </w:r>
      <w:r w:rsidR="003E01A9">
        <w:rPr>
          <w:rFonts w:ascii="Arial" w:hAnsi="Arial"/>
          <w:sz w:val="22"/>
        </w:rPr>
        <w:t>323,0</w:t>
      </w:r>
      <w:r w:rsidRPr="00146269">
        <w:rPr>
          <w:rFonts w:ascii="Arial" w:hAnsi="Arial"/>
          <w:sz w:val="22"/>
        </w:rPr>
        <w:t xml:space="preserve"> milhões e</w:t>
      </w:r>
      <w:r>
        <w:rPr>
          <w:rFonts w:ascii="Arial" w:hAnsi="Arial"/>
          <w:sz w:val="22"/>
        </w:rPr>
        <w:t xml:space="preserve"> </w:t>
      </w:r>
      <w:r w:rsidRPr="00F11A24">
        <w:rPr>
          <w:rFonts w:ascii="Arial" w:hAnsi="Arial"/>
          <w:sz w:val="22"/>
        </w:rPr>
        <w:t>compreende</w:t>
      </w:r>
      <w:r w:rsidR="00491EC2">
        <w:rPr>
          <w:rFonts w:ascii="Arial" w:hAnsi="Arial"/>
          <w:sz w:val="22"/>
        </w:rPr>
        <w:t>, principalmente,</w:t>
      </w:r>
      <w:r w:rsidRPr="00F11A24">
        <w:rPr>
          <w:rFonts w:ascii="Arial" w:hAnsi="Arial"/>
          <w:sz w:val="22"/>
        </w:rPr>
        <w:t xml:space="preserve"> </w:t>
      </w:r>
      <w:r w:rsidR="00C81D6D">
        <w:rPr>
          <w:rFonts w:ascii="Arial" w:hAnsi="Arial"/>
          <w:sz w:val="22"/>
        </w:rPr>
        <w:t>outras</w:t>
      </w:r>
      <w:r w:rsidRPr="00F11A24">
        <w:rPr>
          <w:rFonts w:ascii="Arial" w:hAnsi="Arial"/>
          <w:sz w:val="22"/>
        </w:rPr>
        <w:t xml:space="preserve"> receitas </w:t>
      </w:r>
      <w:r w:rsidR="00C81D6D" w:rsidRPr="006B696B">
        <w:rPr>
          <w:rFonts w:ascii="Arial" w:hAnsi="Arial"/>
          <w:sz w:val="22"/>
        </w:rPr>
        <w:t xml:space="preserve">do </w:t>
      </w:r>
      <w:r w:rsidR="00C81D6D">
        <w:rPr>
          <w:rFonts w:ascii="Arial" w:hAnsi="Arial"/>
          <w:sz w:val="22"/>
        </w:rPr>
        <w:t>FUNPREVI.</w:t>
      </w:r>
    </w:p>
    <w:p w:rsidR="00C81D6D" w:rsidRDefault="00C81D6D" w:rsidP="00C81D6D">
      <w:pPr>
        <w:tabs>
          <w:tab w:val="left" w:pos="426"/>
        </w:tabs>
        <w:spacing w:line="360" w:lineRule="auto"/>
        <w:jc w:val="both"/>
      </w:pPr>
    </w:p>
    <w:p w:rsidR="00825D2C" w:rsidRDefault="00825D2C"/>
    <w:p w:rsidR="00825D2C" w:rsidRDefault="00825D2C">
      <w:pPr>
        <w:jc w:val="center"/>
        <w:rPr>
          <w:rFonts w:ascii="Arial" w:hAnsi="Arial" w:cs="Arial"/>
          <w:b/>
          <w:sz w:val="22"/>
          <w:szCs w:val="22"/>
        </w:rPr>
      </w:pPr>
    </w:p>
    <w:p w:rsidR="00825D2C" w:rsidRDefault="00825D2C">
      <w:pPr>
        <w:jc w:val="center"/>
        <w:rPr>
          <w:rFonts w:ascii="Arial" w:hAnsi="Arial" w:cs="Arial"/>
          <w:b/>
          <w:sz w:val="22"/>
          <w:szCs w:val="22"/>
        </w:rPr>
      </w:pPr>
    </w:p>
    <w:p w:rsidR="00825D2C" w:rsidRDefault="00825D2C">
      <w:pPr>
        <w:jc w:val="center"/>
        <w:rPr>
          <w:rFonts w:ascii="Arial" w:hAnsi="Arial" w:cs="Arial"/>
          <w:b/>
          <w:sz w:val="22"/>
          <w:szCs w:val="22"/>
        </w:rPr>
      </w:pPr>
    </w:p>
    <w:p w:rsidR="001920D7" w:rsidRDefault="001920D7">
      <w:pPr>
        <w:jc w:val="center"/>
        <w:rPr>
          <w:rFonts w:ascii="Arial" w:hAnsi="Arial" w:cs="Arial"/>
          <w:b/>
          <w:sz w:val="22"/>
          <w:szCs w:val="22"/>
        </w:rPr>
      </w:pPr>
    </w:p>
    <w:p w:rsidR="00825D2C" w:rsidRDefault="00825D2C">
      <w:pPr>
        <w:jc w:val="center"/>
        <w:rPr>
          <w:rFonts w:ascii="Arial" w:hAnsi="Arial" w:cs="Arial"/>
          <w:b/>
          <w:sz w:val="22"/>
          <w:szCs w:val="22"/>
        </w:rPr>
      </w:pPr>
      <w:r w:rsidRPr="001B730C">
        <w:rPr>
          <w:rFonts w:ascii="Arial" w:hAnsi="Arial" w:cs="Arial"/>
          <w:b/>
          <w:sz w:val="22"/>
          <w:szCs w:val="22"/>
        </w:rPr>
        <w:lastRenderedPageBreak/>
        <w:t>EVOLUÇÃO DA RECEITA</w:t>
      </w:r>
    </w:p>
    <w:p w:rsidR="00825D2C" w:rsidRDefault="00825D2C">
      <w:pPr>
        <w:rPr>
          <w:sz w:val="22"/>
          <w:szCs w:val="22"/>
        </w:rPr>
      </w:pPr>
    </w:p>
    <w:p w:rsidR="00825D2C" w:rsidRDefault="00825D2C">
      <w:pPr>
        <w:pStyle w:val="Corpodetexto"/>
        <w:spacing w:line="360" w:lineRule="auto"/>
        <w:rPr>
          <w:rFonts w:ascii="Arial" w:hAnsi="Arial"/>
          <w:sz w:val="22"/>
        </w:rPr>
      </w:pPr>
      <w:r>
        <w:rPr>
          <w:rFonts w:ascii="Arial" w:hAnsi="Arial"/>
          <w:sz w:val="22"/>
        </w:rPr>
        <w:t>O demonstrativo a seguir apresenta a evolução dos principais grupos de receitas, sua arrecadação nos exercícios de 20</w:t>
      </w:r>
      <w:r w:rsidR="00B37116">
        <w:rPr>
          <w:rFonts w:ascii="Arial" w:hAnsi="Arial"/>
          <w:sz w:val="22"/>
        </w:rPr>
        <w:t>1</w:t>
      </w:r>
      <w:r w:rsidR="002C2830">
        <w:rPr>
          <w:rFonts w:ascii="Arial" w:hAnsi="Arial"/>
          <w:sz w:val="22"/>
        </w:rPr>
        <w:t>3</w:t>
      </w:r>
      <w:r>
        <w:rPr>
          <w:rFonts w:ascii="Arial" w:hAnsi="Arial"/>
          <w:sz w:val="22"/>
        </w:rPr>
        <w:t xml:space="preserve"> a 20</w:t>
      </w:r>
      <w:r w:rsidR="00F97B65">
        <w:rPr>
          <w:rFonts w:ascii="Arial" w:hAnsi="Arial"/>
          <w:sz w:val="22"/>
        </w:rPr>
        <w:t>1</w:t>
      </w:r>
      <w:r w:rsidR="002C2830">
        <w:rPr>
          <w:rFonts w:ascii="Arial" w:hAnsi="Arial"/>
          <w:sz w:val="22"/>
        </w:rPr>
        <w:t>5</w:t>
      </w:r>
      <w:r>
        <w:rPr>
          <w:rFonts w:ascii="Arial" w:hAnsi="Arial"/>
          <w:sz w:val="22"/>
        </w:rPr>
        <w:t>, a previsão de arrecadação para o corrente ano e a projeção para o período de 201</w:t>
      </w:r>
      <w:r w:rsidR="002C2830">
        <w:rPr>
          <w:rFonts w:ascii="Arial" w:hAnsi="Arial"/>
          <w:sz w:val="22"/>
        </w:rPr>
        <w:t>7</w:t>
      </w:r>
      <w:r>
        <w:rPr>
          <w:rFonts w:ascii="Arial" w:hAnsi="Arial"/>
          <w:sz w:val="22"/>
        </w:rPr>
        <w:t xml:space="preserve"> a 201</w:t>
      </w:r>
      <w:r w:rsidR="002C2830">
        <w:rPr>
          <w:rFonts w:ascii="Arial" w:hAnsi="Arial"/>
          <w:sz w:val="22"/>
        </w:rPr>
        <w:t>9</w:t>
      </w:r>
      <w:r>
        <w:rPr>
          <w:rFonts w:ascii="Arial" w:hAnsi="Arial"/>
          <w:sz w:val="22"/>
        </w:rPr>
        <w:t xml:space="preserve">. Como pode ser observado, a Receita Tributária própria possui expressiva participação no total das receitas, o que garante ao Município independência na administração de seus recursos. </w:t>
      </w:r>
    </w:p>
    <w:p w:rsidR="00825D2C" w:rsidRPr="00862080" w:rsidRDefault="00825D2C" w:rsidP="00066C41">
      <w:pPr>
        <w:pStyle w:val="Ttulo3"/>
        <w:rPr>
          <w:rFonts w:ascii="Arial" w:hAnsi="Arial"/>
          <w:szCs w:val="18"/>
        </w:rPr>
      </w:pPr>
      <w:r w:rsidRPr="00862080">
        <w:rPr>
          <w:rFonts w:ascii="Arial" w:hAnsi="Arial"/>
          <w:szCs w:val="18"/>
        </w:rPr>
        <w:t>DEMONSTRATIVO DE EVOLUÇÃO E PROJEÇÃO DA RECEITA</w:t>
      </w:r>
    </w:p>
    <w:p w:rsidR="0053451B" w:rsidRDefault="000B5956">
      <w:pPr>
        <w:jc w:val="center"/>
      </w:pPr>
      <w:r w:rsidRPr="000B5956">
        <w:pict>
          <v:shape id="_x0000_i1027" type="#_x0000_t75" style="width:439.2pt;height:187.8pt">
            <v:imagedata r:id="rId10" o:title=""/>
          </v:shape>
        </w:pict>
      </w:r>
    </w:p>
    <w:p w:rsidR="00825D2C" w:rsidRDefault="00825D2C">
      <w:pPr>
        <w:pStyle w:val="Corpodetexto"/>
        <w:spacing w:line="360" w:lineRule="auto"/>
        <w:ind w:firstLine="708"/>
        <w:jc w:val="center"/>
        <w:rPr>
          <w:rFonts w:ascii="Arial" w:hAnsi="Arial"/>
          <w:sz w:val="10"/>
          <w:szCs w:val="10"/>
          <w:highlight w:val="yellow"/>
        </w:rPr>
      </w:pPr>
    </w:p>
    <w:p w:rsidR="00825D2C" w:rsidRDefault="00825D2C">
      <w:pPr>
        <w:pStyle w:val="Corpodetexto"/>
        <w:spacing w:line="360" w:lineRule="auto"/>
        <w:rPr>
          <w:rFonts w:ascii="Arial" w:hAnsi="Arial"/>
          <w:sz w:val="22"/>
        </w:rPr>
      </w:pPr>
      <w:r>
        <w:rPr>
          <w:rFonts w:ascii="Arial" w:hAnsi="Arial"/>
          <w:sz w:val="22"/>
        </w:rPr>
        <w:t>No período 20</w:t>
      </w:r>
      <w:r w:rsidR="00B37116">
        <w:rPr>
          <w:rFonts w:ascii="Arial" w:hAnsi="Arial"/>
          <w:sz w:val="22"/>
        </w:rPr>
        <w:t>1</w:t>
      </w:r>
      <w:r w:rsidR="002C2830">
        <w:rPr>
          <w:rFonts w:ascii="Arial" w:hAnsi="Arial"/>
          <w:sz w:val="22"/>
        </w:rPr>
        <w:t>3</w:t>
      </w:r>
      <w:r>
        <w:rPr>
          <w:rFonts w:ascii="Arial" w:hAnsi="Arial"/>
          <w:sz w:val="22"/>
        </w:rPr>
        <w:t xml:space="preserve"> a 20</w:t>
      </w:r>
      <w:r w:rsidR="00E94990">
        <w:rPr>
          <w:rFonts w:ascii="Arial" w:hAnsi="Arial"/>
          <w:sz w:val="22"/>
        </w:rPr>
        <w:t>1</w:t>
      </w:r>
      <w:r w:rsidR="002C2830">
        <w:rPr>
          <w:rFonts w:ascii="Arial" w:hAnsi="Arial"/>
          <w:sz w:val="22"/>
        </w:rPr>
        <w:t>5</w:t>
      </w:r>
      <w:r>
        <w:rPr>
          <w:rFonts w:ascii="Arial" w:hAnsi="Arial"/>
          <w:sz w:val="22"/>
        </w:rPr>
        <w:t xml:space="preserve">, os valores apresentados na tabela acima foram extraídos das respectivas Prestações de Contas e compreendem, portanto, as receitas orçamentárias efetivamente realizadas. </w:t>
      </w:r>
    </w:p>
    <w:p w:rsidR="00825D2C" w:rsidRDefault="00825D2C">
      <w:pPr>
        <w:pStyle w:val="Corpodetexto"/>
        <w:spacing w:line="360" w:lineRule="auto"/>
        <w:rPr>
          <w:rFonts w:ascii="Arial" w:hAnsi="Arial"/>
          <w:sz w:val="10"/>
          <w:szCs w:val="10"/>
        </w:rPr>
      </w:pPr>
    </w:p>
    <w:p w:rsidR="008B239B" w:rsidRPr="00931DAF" w:rsidRDefault="009A4644">
      <w:pPr>
        <w:pStyle w:val="Corpodetexto"/>
        <w:spacing w:line="360" w:lineRule="auto"/>
        <w:rPr>
          <w:rFonts w:ascii="Arial" w:hAnsi="Arial"/>
          <w:sz w:val="22"/>
        </w:rPr>
      </w:pPr>
      <w:r w:rsidRPr="00931DAF">
        <w:rPr>
          <w:rFonts w:ascii="Arial" w:hAnsi="Arial"/>
          <w:sz w:val="22"/>
        </w:rPr>
        <w:t>A Receita Tributária apresentou crescimento real no período de 20</w:t>
      </w:r>
      <w:r w:rsidR="00FF1749" w:rsidRPr="00931DAF">
        <w:rPr>
          <w:rFonts w:ascii="Arial" w:hAnsi="Arial"/>
          <w:sz w:val="22"/>
        </w:rPr>
        <w:t>1</w:t>
      </w:r>
      <w:r w:rsidR="002C2830">
        <w:rPr>
          <w:rFonts w:ascii="Arial" w:hAnsi="Arial"/>
          <w:sz w:val="22"/>
        </w:rPr>
        <w:t>3</w:t>
      </w:r>
      <w:r w:rsidRPr="00931DAF">
        <w:rPr>
          <w:rFonts w:ascii="Arial" w:hAnsi="Arial"/>
          <w:sz w:val="22"/>
        </w:rPr>
        <w:t xml:space="preserve"> a 201</w:t>
      </w:r>
      <w:r w:rsidR="002C2830">
        <w:rPr>
          <w:rFonts w:ascii="Arial" w:hAnsi="Arial"/>
          <w:sz w:val="22"/>
        </w:rPr>
        <w:t>4</w:t>
      </w:r>
      <w:r w:rsidR="00825D2C" w:rsidRPr="00931DAF">
        <w:rPr>
          <w:rFonts w:ascii="Arial" w:hAnsi="Arial"/>
          <w:sz w:val="22"/>
        </w:rPr>
        <w:t xml:space="preserve">, apesar da retração na economia proveniente dos desdobramentos da crise </w:t>
      </w:r>
      <w:r w:rsidRPr="00931DAF">
        <w:rPr>
          <w:rFonts w:ascii="Arial" w:hAnsi="Arial"/>
          <w:sz w:val="22"/>
        </w:rPr>
        <w:t>financeira internacional ocorrida em 2008</w:t>
      </w:r>
      <w:r w:rsidR="002C2830">
        <w:rPr>
          <w:rFonts w:ascii="Arial" w:hAnsi="Arial"/>
          <w:sz w:val="22"/>
        </w:rPr>
        <w:t xml:space="preserve">, com queda </w:t>
      </w:r>
      <w:r w:rsidR="00080C34">
        <w:rPr>
          <w:rFonts w:ascii="Arial" w:hAnsi="Arial"/>
          <w:sz w:val="22"/>
        </w:rPr>
        <w:t xml:space="preserve">real </w:t>
      </w:r>
      <w:r w:rsidR="002C2830">
        <w:rPr>
          <w:rFonts w:ascii="Arial" w:hAnsi="Arial"/>
          <w:sz w:val="22"/>
        </w:rPr>
        <w:t>em 2015</w:t>
      </w:r>
      <w:r w:rsidRPr="00931DAF">
        <w:rPr>
          <w:rFonts w:ascii="Arial" w:hAnsi="Arial"/>
          <w:sz w:val="22"/>
        </w:rPr>
        <w:t>.</w:t>
      </w:r>
      <w:r w:rsidR="00825D2C" w:rsidRPr="00931DAF">
        <w:rPr>
          <w:rFonts w:ascii="Arial" w:hAnsi="Arial"/>
          <w:sz w:val="22"/>
        </w:rPr>
        <w:t xml:space="preserve"> </w:t>
      </w:r>
    </w:p>
    <w:p w:rsidR="008B239B" w:rsidRPr="00931DAF" w:rsidRDefault="008B239B">
      <w:pPr>
        <w:pStyle w:val="Corpodetexto"/>
        <w:spacing w:line="360" w:lineRule="auto"/>
        <w:rPr>
          <w:rFonts w:ascii="Arial" w:hAnsi="Arial"/>
          <w:sz w:val="10"/>
          <w:szCs w:val="10"/>
        </w:rPr>
      </w:pPr>
    </w:p>
    <w:p w:rsidR="00825D2C" w:rsidRDefault="00825D2C">
      <w:pPr>
        <w:pStyle w:val="Corpodetexto"/>
        <w:spacing w:line="360" w:lineRule="auto"/>
        <w:rPr>
          <w:rFonts w:ascii="Arial" w:hAnsi="Arial"/>
          <w:sz w:val="22"/>
        </w:rPr>
      </w:pPr>
      <w:r w:rsidRPr="00931DAF">
        <w:rPr>
          <w:rFonts w:ascii="Arial" w:hAnsi="Arial"/>
          <w:sz w:val="22"/>
        </w:rPr>
        <w:t>Para os anos de 201</w:t>
      </w:r>
      <w:r w:rsidR="00080C34">
        <w:rPr>
          <w:rFonts w:ascii="Arial" w:hAnsi="Arial"/>
          <w:sz w:val="22"/>
        </w:rPr>
        <w:t>7</w:t>
      </w:r>
      <w:r w:rsidRPr="00931DAF">
        <w:rPr>
          <w:rFonts w:ascii="Arial" w:hAnsi="Arial"/>
          <w:sz w:val="22"/>
        </w:rPr>
        <w:t xml:space="preserve"> a 201</w:t>
      </w:r>
      <w:r w:rsidR="00080C34">
        <w:rPr>
          <w:rFonts w:ascii="Arial" w:hAnsi="Arial"/>
          <w:sz w:val="22"/>
        </w:rPr>
        <w:t>9</w:t>
      </w:r>
      <w:r w:rsidRPr="00931DAF">
        <w:rPr>
          <w:rFonts w:ascii="Arial" w:hAnsi="Arial"/>
          <w:sz w:val="22"/>
        </w:rPr>
        <w:t xml:space="preserve">, acompanhando a tendência de </w:t>
      </w:r>
      <w:r w:rsidR="001E2ED5">
        <w:rPr>
          <w:rFonts w:ascii="Arial" w:hAnsi="Arial"/>
          <w:sz w:val="22"/>
        </w:rPr>
        <w:t>retomada</w:t>
      </w:r>
      <w:r w:rsidR="0056668B" w:rsidRPr="00931DAF">
        <w:rPr>
          <w:rFonts w:ascii="Arial" w:hAnsi="Arial"/>
          <w:sz w:val="22"/>
        </w:rPr>
        <w:t xml:space="preserve"> do </w:t>
      </w:r>
      <w:r w:rsidR="00E56EB4">
        <w:rPr>
          <w:rFonts w:ascii="Arial" w:hAnsi="Arial"/>
          <w:sz w:val="22"/>
        </w:rPr>
        <w:t>crescimento econômico apontada</w:t>
      </w:r>
      <w:r w:rsidRPr="00931DAF">
        <w:rPr>
          <w:rFonts w:ascii="Arial" w:hAnsi="Arial"/>
          <w:sz w:val="22"/>
        </w:rPr>
        <w:t xml:space="preserve"> pelas expectativas de mercado para os in</w:t>
      </w:r>
      <w:r w:rsidR="00E56EB4">
        <w:rPr>
          <w:rFonts w:ascii="Arial" w:hAnsi="Arial"/>
          <w:sz w:val="22"/>
        </w:rPr>
        <w:t>dicadores econômicos, publicada</w:t>
      </w:r>
      <w:r w:rsidRPr="00931DAF">
        <w:rPr>
          <w:rFonts w:ascii="Arial" w:hAnsi="Arial"/>
          <w:sz w:val="22"/>
        </w:rPr>
        <w:t xml:space="preserve"> pelo Relatório</w:t>
      </w:r>
      <w:r w:rsidR="00657A5F" w:rsidRPr="00931DAF">
        <w:rPr>
          <w:rFonts w:ascii="Arial" w:hAnsi="Arial"/>
          <w:sz w:val="22"/>
        </w:rPr>
        <w:t xml:space="preserve"> </w:t>
      </w:r>
      <w:r w:rsidRPr="00931DAF">
        <w:rPr>
          <w:rFonts w:ascii="Arial" w:hAnsi="Arial"/>
          <w:sz w:val="22"/>
        </w:rPr>
        <w:t xml:space="preserve">Focus do Banco Central do Brasil, projeta-se </w:t>
      </w:r>
      <w:r w:rsidR="00931DAF" w:rsidRPr="00931DAF">
        <w:rPr>
          <w:rFonts w:ascii="Arial" w:hAnsi="Arial"/>
          <w:sz w:val="22"/>
        </w:rPr>
        <w:t>um</w:t>
      </w:r>
      <w:r w:rsidR="001E2ED5">
        <w:rPr>
          <w:rFonts w:ascii="Arial" w:hAnsi="Arial"/>
          <w:sz w:val="22"/>
        </w:rPr>
        <w:t xml:space="preserve"> aumento</w:t>
      </w:r>
      <w:r w:rsidR="00931DAF" w:rsidRPr="00931DAF">
        <w:rPr>
          <w:rFonts w:ascii="Arial" w:hAnsi="Arial"/>
          <w:sz w:val="22"/>
        </w:rPr>
        <w:t xml:space="preserve"> do percentual de </w:t>
      </w:r>
      <w:r w:rsidRPr="00931DAF">
        <w:rPr>
          <w:rFonts w:ascii="Arial" w:hAnsi="Arial"/>
          <w:sz w:val="22"/>
        </w:rPr>
        <w:t>crescimento real</w:t>
      </w:r>
      <w:r w:rsidR="00931DAF" w:rsidRPr="00931DAF">
        <w:rPr>
          <w:rFonts w:ascii="Arial" w:hAnsi="Arial"/>
          <w:sz w:val="22"/>
        </w:rPr>
        <w:t xml:space="preserve"> </w:t>
      </w:r>
      <w:r w:rsidR="008B239B" w:rsidRPr="00931DAF">
        <w:rPr>
          <w:rFonts w:ascii="Arial" w:hAnsi="Arial"/>
          <w:sz w:val="22"/>
        </w:rPr>
        <w:t xml:space="preserve">para a Receita Tributária </w:t>
      </w:r>
      <w:r w:rsidR="00E56EB4">
        <w:rPr>
          <w:rFonts w:ascii="Arial" w:hAnsi="Arial"/>
          <w:sz w:val="22"/>
        </w:rPr>
        <w:t xml:space="preserve">a partir de 2018 </w:t>
      </w:r>
      <w:r w:rsidR="00931DAF" w:rsidRPr="00931DAF">
        <w:rPr>
          <w:rFonts w:ascii="Arial" w:hAnsi="Arial"/>
          <w:sz w:val="22"/>
        </w:rPr>
        <w:t xml:space="preserve">e </w:t>
      </w:r>
      <w:r w:rsidR="00E56EB4">
        <w:rPr>
          <w:rFonts w:ascii="Arial" w:hAnsi="Arial"/>
          <w:sz w:val="22"/>
        </w:rPr>
        <w:t>um crescimento</w:t>
      </w:r>
      <w:r w:rsidR="00931DAF" w:rsidRPr="00931DAF">
        <w:rPr>
          <w:rFonts w:ascii="Arial" w:hAnsi="Arial"/>
          <w:sz w:val="22"/>
        </w:rPr>
        <w:t xml:space="preserve"> real p</w:t>
      </w:r>
      <w:r w:rsidR="00F9477C">
        <w:rPr>
          <w:rFonts w:ascii="Arial" w:hAnsi="Arial"/>
          <w:sz w:val="22"/>
        </w:rPr>
        <w:t>a</w:t>
      </w:r>
      <w:r w:rsidR="00931DAF" w:rsidRPr="00931DAF">
        <w:rPr>
          <w:rFonts w:ascii="Arial" w:hAnsi="Arial"/>
          <w:sz w:val="22"/>
        </w:rPr>
        <w:t xml:space="preserve">ra a </w:t>
      </w:r>
      <w:r w:rsidR="002C2AFD">
        <w:rPr>
          <w:rFonts w:ascii="Arial" w:hAnsi="Arial"/>
          <w:sz w:val="22"/>
        </w:rPr>
        <w:t>Receita Total</w:t>
      </w:r>
      <w:r w:rsidR="00E56EB4">
        <w:rPr>
          <w:rFonts w:ascii="Arial" w:hAnsi="Arial"/>
          <w:sz w:val="22"/>
        </w:rPr>
        <w:t xml:space="preserve"> só em 2019</w:t>
      </w:r>
      <w:r w:rsidR="002C2AFD">
        <w:rPr>
          <w:rFonts w:ascii="Arial" w:hAnsi="Arial"/>
          <w:sz w:val="22"/>
        </w:rPr>
        <w:t>, principalmente, devido à redução da estimativa de arrecadação da Receita de Capital.</w:t>
      </w:r>
      <w:r>
        <w:rPr>
          <w:rFonts w:ascii="Arial" w:hAnsi="Arial"/>
          <w:sz w:val="22"/>
        </w:rPr>
        <w:t xml:space="preserve"> </w:t>
      </w:r>
    </w:p>
    <w:p w:rsidR="008B239B" w:rsidRDefault="008B239B">
      <w:pPr>
        <w:pStyle w:val="Corpodetexto"/>
        <w:spacing w:line="360" w:lineRule="auto"/>
        <w:rPr>
          <w:rFonts w:ascii="Arial" w:hAnsi="Arial"/>
          <w:sz w:val="22"/>
        </w:rPr>
      </w:pPr>
    </w:p>
    <w:p w:rsidR="00825D2C" w:rsidRDefault="00825D2C" w:rsidP="00066C41">
      <w:pPr>
        <w:pStyle w:val="Ttulo3"/>
        <w:rPr>
          <w:rFonts w:ascii="Arial" w:hAnsi="Arial"/>
          <w:szCs w:val="18"/>
        </w:rPr>
      </w:pPr>
      <w:r>
        <w:rPr>
          <w:rFonts w:ascii="Arial" w:hAnsi="Arial"/>
          <w:szCs w:val="18"/>
        </w:rPr>
        <w:t>ÍNDICE DE PREÇOS</w:t>
      </w:r>
    </w:p>
    <w:p w:rsidR="00066C41" w:rsidRPr="00066C41" w:rsidRDefault="00066C41" w:rsidP="00066C41">
      <w:pPr>
        <w:rPr>
          <w:sz w:val="10"/>
          <w:szCs w:val="10"/>
        </w:rPr>
      </w:pPr>
    </w:p>
    <w:p w:rsidR="00825D2C" w:rsidRDefault="009A4D02">
      <w:pPr>
        <w:pStyle w:val="Corpodetexto"/>
        <w:spacing w:line="360" w:lineRule="auto"/>
        <w:jc w:val="center"/>
      </w:pPr>
      <w:r>
        <w:pict>
          <v:shape id="_x0000_i1026" type="#_x0000_t75" style="width:439.8pt;height:52.8pt">
            <v:imagedata r:id="rId11" o:title=""/>
          </v:shape>
        </w:pict>
      </w:r>
    </w:p>
    <w:p w:rsidR="00825D2C" w:rsidRDefault="00825D2C">
      <w:pPr>
        <w:pStyle w:val="Corpodetexto"/>
        <w:spacing w:line="360" w:lineRule="auto"/>
        <w:rPr>
          <w:rFonts w:ascii="Arial" w:hAnsi="Arial"/>
          <w:sz w:val="10"/>
          <w:szCs w:val="10"/>
        </w:rPr>
      </w:pPr>
    </w:p>
    <w:p w:rsidR="00163672" w:rsidRDefault="00163672">
      <w:pPr>
        <w:pStyle w:val="Corpodetexto"/>
        <w:spacing w:line="360" w:lineRule="auto"/>
        <w:rPr>
          <w:rFonts w:ascii="Arial" w:hAnsi="Arial"/>
          <w:sz w:val="22"/>
        </w:rPr>
      </w:pPr>
    </w:p>
    <w:p w:rsidR="008B239B" w:rsidRDefault="008B239B">
      <w:pPr>
        <w:pStyle w:val="Corpodetexto"/>
        <w:spacing w:line="360" w:lineRule="auto"/>
        <w:rPr>
          <w:rFonts w:ascii="Arial" w:hAnsi="Arial"/>
          <w:sz w:val="22"/>
        </w:rPr>
      </w:pPr>
    </w:p>
    <w:p w:rsidR="00163672" w:rsidRDefault="00163672">
      <w:pPr>
        <w:pStyle w:val="Corpodetexto"/>
        <w:spacing w:line="360" w:lineRule="auto"/>
        <w:rPr>
          <w:rFonts w:ascii="Arial" w:hAnsi="Arial"/>
          <w:sz w:val="22"/>
        </w:rPr>
      </w:pPr>
    </w:p>
    <w:p w:rsidR="00163672" w:rsidRDefault="00163672">
      <w:pPr>
        <w:pStyle w:val="Corpodetexto"/>
        <w:spacing w:line="360" w:lineRule="auto"/>
        <w:rPr>
          <w:rFonts w:ascii="Arial" w:hAnsi="Arial"/>
          <w:sz w:val="22"/>
        </w:rPr>
      </w:pPr>
    </w:p>
    <w:p w:rsidR="00163672" w:rsidRPr="00B35B56" w:rsidRDefault="00163672">
      <w:pPr>
        <w:pStyle w:val="Corpodetexto"/>
        <w:spacing w:line="360" w:lineRule="auto"/>
        <w:rPr>
          <w:rFonts w:ascii="Arial" w:hAnsi="Arial"/>
          <w:sz w:val="22"/>
        </w:rPr>
      </w:pPr>
    </w:p>
    <w:p w:rsidR="0053451B" w:rsidRDefault="0053451B">
      <w:pPr>
        <w:pStyle w:val="Ttulo6"/>
        <w:spacing w:line="360" w:lineRule="auto"/>
      </w:pPr>
    </w:p>
    <w:p w:rsidR="00825D2C" w:rsidRPr="00BF77E7" w:rsidRDefault="00825D2C">
      <w:pPr>
        <w:pStyle w:val="Ttulo6"/>
        <w:spacing w:line="360" w:lineRule="auto"/>
      </w:pPr>
      <w:r w:rsidRPr="00BF77E7">
        <w:t>RECEITA CORRENTE LÍQUIDA</w:t>
      </w:r>
    </w:p>
    <w:p w:rsidR="00825D2C" w:rsidRPr="00BF77E7" w:rsidRDefault="00825D2C">
      <w:pPr>
        <w:rPr>
          <w:sz w:val="10"/>
          <w:szCs w:val="10"/>
        </w:rPr>
      </w:pPr>
    </w:p>
    <w:p w:rsidR="00825D2C" w:rsidRDefault="00825D2C">
      <w:pPr>
        <w:pStyle w:val="Ttulo2"/>
        <w:spacing w:line="360" w:lineRule="auto"/>
        <w:jc w:val="both"/>
        <w:rPr>
          <w:rFonts w:ascii="Arial" w:hAnsi="Arial"/>
          <w:b w:val="0"/>
          <w:spacing w:val="10"/>
          <w:sz w:val="22"/>
        </w:rPr>
      </w:pPr>
      <w:r w:rsidRPr="00BF77E7">
        <w:rPr>
          <w:rFonts w:ascii="Arial" w:hAnsi="Arial"/>
          <w:b w:val="0"/>
          <w:sz w:val="22"/>
        </w:rPr>
        <w:t>O quadro a seguir apresenta o cálculo da Receita Corrente Líquida</w:t>
      </w:r>
      <w:r w:rsidR="00E82D72" w:rsidRPr="00BF77E7">
        <w:rPr>
          <w:rFonts w:ascii="Arial" w:hAnsi="Arial"/>
          <w:b w:val="0"/>
          <w:sz w:val="22"/>
        </w:rPr>
        <w:t xml:space="preserve"> e</w:t>
      </w:r>
      <w:r w:rsidR="00E82D72" w:rsidRPr="00BF77E7">
        <w:rPr>
          <w:rFonts w:ascii="Arial" w:hAnsi="Arial"/>
          <w:b w:val="0"/>
          <w:spacing w:val="10"/>
          <w:sz w:val="22"/>
        </w:rPr>
        <w:t>m atendimento ao Manual de Demonstrativos Fiscais</w:t>
      </w:r>
      <w:r w:rsidRPr="00FF725F">
        <w:rPr>
          <w:rFonts w:ascii="Arial" w:hAnsi="Arial"/>
          <w:b w:val="0"/>
          <w:sz w:val="22"/>
        </w:rPr>
        <w:t>.</w:t>
      </w:r>
      <w:r w:rsidRPr="00BF77E7">
        <w:rPr>
          <w:rFonts w:ascii="Arial" w:hAnsi="Arial"/>
          <w:b w:val="0"/>
          <w:sz w:val="22"/>
        </w:rPr>
        <w:t xml:space="preserve"> Cabe destacar que foram excluídas as operações </w:t>
      </w:r>
      <w:proofErr w:type="spellStart"/>
      <w:r w:rsidRPr="00BF77E7">
        <w:rPr>
          <w:rFonts w:ascii="Arial" w:hAnsi="Arial"/>
          <w:b w:val="0"/>
          <w:sz w:val="22"/>
        </w:rPr>
        <w:t>intra-orçamentárias</w:t>
      </w:r>
      <w:proofErr w:type="spellEnd"/>
      <w:r w:rsidR="00877973">
        <w:rPr>
          <w:rFonts w:ascii="Arial" w:hAnsi="Arial"/>
          <w:b w:val="0"/>
          <w:sz w:val="22"/>
        </w:rPr>
        <w:t>.</w:t>
      </w:r>
      <w:r>
        <w:rPr>
          <w:rFonts w:ascii="Arial" w:hAnsi="Arial"/>
          <w:b w:val="0"/>
          <w:spacing w:val="10"/>
          <w:sz w:val="22"/>
        </w:rPr>
        <w:t xml:space="preserve"> </w:t>
      </w:r>
    </w:p>
    <w:p w:rsidR="00825D2C" w:rsidRDefault="00825D2C">
      <w:pPr>
        <w:rPr>
          <w:sz w:val="16"/>
          <w:szCs w:val="16"/>
        </w:rPr>
      </w:pPr>
    </w:p>
    <w:p w:rsidR="00825D2C" w:rsidRPr="002500BC" w:rsidRDefault="00825D2C">
      <w:pPr>
        <w:pStyle w:val="Ttulo4"/>
        <w:tabs>
          <w:tab w:val="center" w:pos="4890"/>
          <w:tab w:val="left" w:pos="6090"/>
        </w:tabs>
        <w:spacing w:line="360" w:lineRule="auto"/>
        <w:jc w:val="left"/>
        <w:rPr>
          <w:rFonts w:ascii="Arial" w:hAnsi="Arial"/>
          <w:sz w:val="16"/>
          <w:szCs w:val="16"/>
        </w:rPr>
      </w:pPr>
      <w:r>
        <w:rPr>
          <w:rFonts w:ascii="Arial" w:hAnsi="Arial"/>
          <w:sz w:val="16"/>
          <w:szCs w:val="16"/>
        </w:rPr>
        <w:tab/>
      </w:r>
      <w:r w:rsidRPr="002500BC">
        <w:rPr>
          <w:rFonts w:ascii="Arial" w:hAnsi="Arial"/>
          <w:sz w:val="16"/>
          <w:szCs w:val="16"/>
        </w:rPr>
        <w:t>RECEITA CORRENTE LÍQUIDA</w:t>
      </w:r>
    </w:p>
    <w:p w:rsidR="00825D2C" w:rsidRPr="006A3F00" w:rsidRDefault="002500BC">
      <w:pPr>
        <w:pStyle w:val="Ttulo4"/>
        <w:tabs>
          <w:tab w:val="center" w:pos="4890"/>
          <w:tab w:val="left" w:pos="6090"/>
        </w:tabs>
        <w:spacing w:line="360" w:lineRule="auto"/>
        <w:rPr>
          <w:rFonts w:ascii="Arial" w:hAnsi="Arial"/>
          <w:sz w:val="16"/>
          <w:szCs w:val="16"/>
          <w:highlight w:val="yellow"/>
        </w:rPr>
      </w:pPr>
      <w:r w:rsidRPr="002500BC">
        <w:rPr>
          <w:rFonts w:ascii="Arial" w:hAnsi="Arial"/>
          <w:sz w:val="16"/>
          <w:szCs w:val="16"/>
        </w:rPr>
        <w:t>201</w:t>
      </w:r>
      <w:r w:rsidR="008747CE">
        <w:rPr>
          <w:rFonts w:ascii="Arial" w:hAnsi="Arial"/>
          <w:sz w:val="16"/>
          <w:szCs w:val="16"/>
        </w:rPr>
        <w:t>7</w:t>
      </w:r>
    </w:p>
    <w:p w:rsidR="00B319CE" w:rsidRDefault="00920F1D" w:rsidP="004F5458">
      <w:pPr>
        <w:pStyle w:val="Ttulo6"/>
        <w:spacing w:line="360" w:lineRule="auto"/>
      </w:pPr>
      <w:r w:rsidRPr="00920F1D">
        <w:pict>
          <v:shape id="_x0000_i1028" type="#_x0000_t75" style="width:269.4pt;height:220.8pt">
            <v:imagedata r:id="rId12" o:title=""/>
          </v:shape>
        </w:pict>
      </w:r>
      <w:bookmarkStart w:id="0" w:name="_GoBack"/>
      <w:bookmarkEnd w:id="0"/>
    </w:p>
    <w:p w:rsidR="00B319CE" w:rsidRDefault="00B319CE" w:rsidP="00B319CE"/>
    <w:p w:rsidR="00B319CE" w:rsidRDefault="00B319CE"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7B5715" w:rsidRDefault="007B5715" w:rsidP="00B319CE"/>
    <w:p w:rsidR="00B319CE" w:rsidRDefault="00B319CE" w:rsidP="00B319CE"/>
    <w:sectPr w:rsidR="00B319CE" w:rsidSect="00D52E68">
      <w:pgSz w:w="11907" w:h="16840" w:code="9"/>
      <w:pgMar w:top="1134" w:right="992" w:bottom="70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D02" w:rsidRDefault="009A4D02">
      <w:r>
        <w:separator/>
      </w:r>
    </w:p>
  </w:endnote>
  <w:endnote w:type="continuationSeparator" w:id="0">
    <w:p w:rsidR="009A4D02" w:rsidRDefault="009A4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D02" w:rsidRDefault="009A4D02">
      <w:r>
        <w:separator/>
      </w:r>
    </w:p>
  </w:footnote>
  <w:footnote w:type="continuationSeparator" w:id="0">
    <w:p w:rsidR="009A4D02" w:rsidRDefault="009A4D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6E"/>
      </v:shape>
    </w:pict>
  </w:numPicBullet>
  <w:abstractNum w:abstractNumId="0">
    <w:nsid w:val="00B1320A"/>
    <w:multiLevelType w:val="hybridMultilevel"/>
    <w:tmpl w:val="F2BE2C1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nsid w:val="00D80D8B"/>
    <w:multiLevelType w:val="multilevel"/>
    <w:tmpl w:val="6EA2D298"/>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4433B35"/>
    <w:multiLevelType w:val="multilevel"/>
    <w:tmpl w:val="21BEEF8A"/>
    <w:lvl w:ilvl="0">
      <w:start w:val="1"/>
      <w:numFmt w:val="bullet"/>
      <w:lvlText w:val=""/>
      <w:lvlJc w:val="left"/>
      <w:pPr>
        <w:tabs>
          <w:tab w:val="num" w:pos="360"/>
        </w:tabs>
        <w:ind w:left="360" w:hanging="360"/>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5146F29"/>
    <w:multiLevelType w:val="hybridMultilevel"/>
    <w:tmpl w:val="BE020D0C"/>
    <w:lvl w:ilvl="0" w:tplc="04160005">
      <w:start w:val="1"/>
      <w:numFmt w:val="bullet"/>
      <w:lvlText w:val=""/>
      <w:lvlJc w:val="left"/>
      <w:pPr>
        <w:ind w:left="360" w:hanging="360"/>
      </w:pPr>
      <w:rPr>
        <w:rFonts w:ascii="Wingdings" w:hAnsi="Wingdings"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4">
    <w:nsid w:val="060C1BED"/>
    <w:multiLevelType w:val="hybridMultilevel"/>
    <w:tmpl w:val="0F3CB100"/>
    <w:lvl w:ilvl="0" w:tplc="C8305658">
      <w:start w:val="1"/>
      <w:numFmt w:val="bullet"/>
      <w:lvlText w:val=""/>
      <w:lvlJc w:val="left"/>
      <w:pPr>
        <w:tabs>
          <w:tab w:val="num" w:pos="284"/>
        </w:tabs>
        <w:ind w:left="284" w:hanging="284"/>
      </w:pPr>
      <w:rPr>
        <w:rFonts w:ascii="Arial" w:hAnsi="Arial"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0DD963CA"/>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0170555"/>
    <w:multiLevelType w:val="hybridMultilevel"/>
    <w:tmpl w:val="F70E7504"/>
    <w:lvl w:ilvl="0" w:tplc="293C3162">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06D6513"/>
    <w:multiLevelType w:val="hybridMultilevel"/>
    <w:tmpl w:val="97808CDE"/>
    <w:lvl w:ilvl="0" w:tplc="FF76E83A">
      <w:start w:val="1"/>
      <w:numFmt w:val="bullet"/>
      <w:lvlText w:val=""/>
      <w:lvlJc w:val="left"/>
      <w:pPr>
        <w:tabs>
          <w:tab w:val="num" w:pos="284"/>
        </w:tabs>
        <w:ind w:left="284" w:hanging="284"/>
      </w:pPr>
      <w:rPr>
        <w:rFonts w:ascii="Wingdings" w:hAnsi="Wingdings" w:hint="default"/>
        <w:color w:val="auto"/>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nsid w:val="19EA6DE7"/>
    <w:multiLevelType w:val="hybridMultilevel"/>
    <w:tmpl w:val="DD4EB654"/>
    <w:lvl w:ilvl="0" w:tplc="C5305082">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26595471"/>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1C055E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343E7407"/>
    <w:multiLevelType w:val="hybridMultilevel"/>
    <w:tmpl w:val="21BEEF8A"/>
    <w:lvl w:ilvl="0" w:tplc="66AA0656">
      <w:start w:val="1"/>
      <w:numFmt w:val="bullet"/>
      <w:lvlText w:val=""/>
      <w:lvlJc w:val="left"/>
      <w:pPr>
        <w:tabs>
          <w:tab w:val="num" w:pos="360"/>
        </w:tabs>
        <w:ind w:left="360" w:hanging="360"/>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816705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3AED4488"/>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5BA3151"/>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5">
    <w:nsid w:val="48582701"/>
    <w:multiLevelType w:val="hybridMultilevel"/>
    <w:tmpl w:val="EE4445C6"/>
    <w:lvl w:ilvl="0" w:tplc="371A4DE0">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ABD7DE5"/>
    <w:multiLevelType w:val="hybridMultilevel"/>
    <w:tmpl w:val="09008E0E"/>
    <w:lvl w:ilvl="0" w:tplc="ABE61570">
      <w:start w:val="1"/>
      <w:numFmt w:val="bullet"/>
      <w:lvlText w:val=""/>
      <w:lvlJc w:val="left"/>
      <w:pPr>
        <w:tabs>
          <w:tab w:val="num" w:pos="284"/>
        </w:tabs>
        <w:ind w:left="284" w:hanging="284"/>
      </w:pPr>
      <w:rPr>
        <w:rFonts w:ascii="Wingdings" w:hAnsi="Wingdings"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366BB5"/>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58CE245C"/>
    <w:multiLevelType w:val="multilevel"/>
    <w:tmpl w:val="8A648000"/>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31155BB"/>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66621727"/>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6C860D36"/>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6DEB269D"/>
    <w:multiLevelType w:val="multilevel"/>
    <w:tmpl w:val="017405A6"/>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53377B2"/>
    <w:multiLevelType w:val="multilevel"/>
    <w:tmpl w:val="FCA637E6"/>
    <w:lvl w:ilvl="0">
      <w:start w:val="1"/>
      <w:numFmt w:val="bullet"/>
      <w:lvlText w:val=""/>
      <w:lvlJc w:val="left"/>
      <w:pPr>
        <w:tabs>
          <w:tab w:val="num" w:pos="284"/>
        </w:tabs>
        <w:ind w:left="284" w:hanging="284"/>
      </w:pPr>
      <w:rPr>
        <w:rFonts w:ascii="Wingdings" w:hAnsi="Wingdings"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97C6EA3"/>
    <w:multiLevelType w:val="hybridMultilevel"/>
    <w:tmpl w:val="2F509D5C"/>
    <w:lvl w:ilvl="0" w:tplc="746EFAA0">
      <w:start w:val="1"/>
      <w:numFmt w:val="bullet"/>
      <w:lvlText w:val="o"/>
      <w:lvlJc w:val="left"/>
      <w:pPr>
        <w:tabs>
          <w:tab w:val="num" w:pos="360"/>
        </w:tabs>
        <w:ind w:left="360" w:hanging="360"/>
      </w:pPr>
      <w:rPr>
        <w:rFonts w:ascii="Courier New" w:hAnsi="Courier New" w:cs="Courier New" w:hint="default"/>
        <w:sz w:val="16"/>
        <w:szCs w:val="16"/>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7B5712CF"/>
    <w:multiLevelType w:val="singleLevel"/>
    <w:tmpl w:val="04160007"/>
    <w:lvl w:ilvl="0">
      <w:start w:val="1"/>
      <w:numFmt w:val="bullet"/>
      <w:lvlText w:val=""/>
      <w:lvlJc w:val="left"/>
      <w:pPr>
        <w:tabs>
          <w:tab w:val="num" w:pos="360"/>
        </w:tabs>
        <w:ind w:left="360" w:hanging="360"/>
      </w:pPr>
      <w:rPr>
        <w:rFonts w:ascii="Wingdings" w:hAnsi="Wingdings" w:hint="default"/>
        <w:sz w:val="16"/>
      </w:rPr>
    </w:lvl>
  </w:abstractNum>
  <w:num w:numId="1">
    <w:abstractNumId w:val="21"/>
  </w:num>
  <w:num w:numId="2">
    <w:abstractNumId w:val="5"/>
  </w:num>
  <w:num w:numId="3">
    <w:abstractNumId w:val="12"/>
  </w:num>
  <w:num w:numId="4">
    <w:abstractNumId w:val="20"/>
  </w:num>
  <w:num w:numId="5">
    <w:abstractNumId w:val="17"/>
  </w:num>
  <w:num w:numId="6">
    <w:abstractNumId w:val="14"/>
  </w:num>
  <w:num w:numId="7">
    <w:abstractNumId w:val="9"/>
  </w:num>
  <w:num w:numId="8">
    <w:abstractNumId w:val="13"/>
  </w:num>
  <w:num w:numId="9">
    <w:abstractNumId w:val="19"/>
  </w:num>
  <w:num w:numId="10">
    <w:abstractNumId w:val="10"/>
  </w:num>
  <w:num w:numId="11">
    <w:abstractNumId w:val="25"/>
  </w:num>
  <w:num w:numId="12">
    <w:abstractNumId w:val="24"/>
  </w:num>
  <w:num w:numId="13">
    <w:abstractNumId w:val="11"/>
  </w:num>
  <w:num w:numId="14">
    <w:abstractNumId w:val="2"/>
  </w:num>
  <w:num w:numId="15">
    <w:abstractNumId w:val="8"/>
  </w:num>
  <w:num w:numId="16">
    <w:abstractNumId w:val="1"/>
  </w:num>
  <w:num w:numId="17">
    <w:abstractNumId w:val="15"/>
  </w:num>
  <w:num w:numId="18">
    <w:abstractNumId w:val="4"/>
  </w:num>
  <w:num w:numId="19">
    <w:abstractNumId w:val="0"/>
  </w:num>
  <w:num w:numId="20">
    <w:abstractNumId w:val="23"/>
  </w:num>
  <w:num w:numId="21">
    <w:abstractNumId w:val="16"/>
  </w:num>
  <w:num w:numId="22">
    <w:abstractNumId w:val="22"/>
  </w:num>
  <w:num w:numId="23">
    <w:abstractNumId w:val="6"/>
  </w:num>
  <w:num w:numId="24">
    <w:abstractNumId w:val="18"/>
  </w:num>
  <w:num w:numId="25">
    <w:abstractNumId w:val="7"/>
  </w:num>
  <w:num w:numId="26">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F7"/>
    <w:rsid w:val="00003D2C"/>
    <w:rsid w:val="00003E05"/>
    <w:rsid w:val="0000724E"/>
    <w:rsid w:val="0000776F"/>
    <w:rsid w:val="000176A3"/>
    <w:rsid w:val="000210FA"/>
    <w:rsid w:val="00027646"/>
    <w:rsid w:val="00050B8E"/>
    <w:rsid w:val="00066ADA"/>
    <w:rsid w:val="00066C41"/>
    <w:rsid w:val="000700BD"/>
    <w:rsid w:val="00080C34"/>
    <w:rsid w:val="000811F4"/>
    <w:rsid w:val="000845EC"/>
    <w:rsid w:val="0009549C"/>
    <w:rsid w:val="000A63D3"/>
    <w:rsid w:val="000B0004"/>
    <w:rsid w:val="000B5956"/>
    <w:rsid w:val="000B62FF"/>
    <w:rsid w:val="000C1885"/>
    <w:rsid w:val="000C3499"/>
    <w:rsid w:val="000E3377"/>
    <w:rsid w:val="000E3C2D"/>
    <w:rsid w:val="000F47D8"/>
    <w:rsid w:val="001115DF"/>
    <w:rsid w:val="00111972"/>
    <w:rsid w:val="00120B75"/>
    <w:rsid w:val="00121F2B"/>
    <w:rsid w:val="001405D4"/>
    <w:rsid w:val="00146269"/>
    <w:rsid w:val="00163672"/>
    <w:rsid w:val="00163ECE"/>
    <w:rsid w:val="00164EEF"/>
    <w:rsid w:val="00165EFE"/>
    <w:rsid w:val="0016675F"/>
    <w:rsid w:val="00177A04"/>
    <w:rsid w:val="00182B87"/>
    <w:rsid w:val="00186C64"/>
    <w:rsid w:val="001920D7"/>
    <w:rsid w:val="00194530"/>
    <w:rsid w:val="001B6768"/>
    <w:rsid w:val="001B730C"/>
    <w:rsid w:val="001C6A4D"/>
    <w:rsid w:val="001D2D89"/>
    <w:rsid w:val="001E2ED5"/>
    <w:rsid w:val="002003BC"/>
    <w:rsid w:val="00227E4C"/>
    <w:rsid w:val="00242290"/>
    <w:rsid w:val="002500BC"/>
    <w:rsid w:val="00251BF7"/>
    <w:rsid w:val="0026220C"/>
    <w:rsid w:val="002726C1"/>
    <w:rsid w:val="0029628A"/>
    <w:rsid w:val="002974B3"/>
    <w:rsid w:val="002A1351"/>
    <w:rsid w:val="002A3B08"/>
    <w:rsid w:val="002B7D20"/>
    <w:rsid w:val="002C2830"/>
    <w:rsid w:val="002C2AFD"/>
    <w:rsid w:val="002C2C2B"/>
    <w:rsid w:val="002C3DD7"/>
    <w:rsid w:val="002D186A"/>
    <w:rsid w:val="002D233D"/>
    <w:rsid w:val="002D7542"/>
    <w:rsid w:val="002E7527"/>
    <w:rsid w:val="002F0422"/>
    <w:rsid w:val="002F2574"/>
    <w:rsid w:val="003150F6"/>
    <w:rsid w:val="0032422C"/>
    <w:rsid w:val="00327892"/>
    <w:rsid w:val="0034103F"/>
    <w:rsid w:val="00341CF0"/>
    <w:rsid w:val="003458BA"/>
    <w:rsid w:val="003531E8"/>
    <w:rsid w:val="0035577E"/>
    <w:rsid w:val="0035752A"/>
    <w:rsid w:val="00361075"/>
    <w:rsid w:val="00362294"/>
    <w:rsid w:val="00367BB8"/>
    <w:rsid w:val="003711D3"/>
    <w:rsid w:val="00373FE3"/>
    <w:rsid w:val="0037560C"/>
    <w:rsid w:val="00390650"/>
    <w:rsid w:val="0039363C"/>
    <w:rsid w:val="0039481F"/>
    <w:rsid w:val="003A3817"/>
    <w:rsid w:val="003A6E70"/>
    <w:rsid w:val="003B20B9"/>
    <w:rsid w:val="003B3618"/>
    <w:rsid w:val="003B4B3F"/>
    <w:rsid w:val="003D0C42"/>
    <w:rsid w:val="003E01A9"/>
    <w:rsid w:val="003E65DE"/>
    <w:rsid w:val="003F68AC"/>
    <w:rsid w:val="00404DEA"/>
    <w:rsid w:val="00406BF7"/>
    <w:rsid w:val="00407E76"/>
    <w:rsid w:val="0041235E"/>
    <w:rsid w:val="00413D5C"/>
    <w:rsid w:val="0042049F"/>
    <w:rsid w:val="00431321"/>
    <w:rsid w:val="00436A0E"/>
    <w:rsid w:val="004371DF"/>
    <w:rsid w:val="00445D83"/>
    <w:rsid w:val="004526BF"/>
    <w:rsid w:val="00454F5F"/>
    <w:rsid w:val="004603CC"/>
    <w:rsid w:val="00460ED9"/>
    <w:rsid w:val="0046109C"/>
    <w:rsid w:val="004625E0"/>
    <w:rsid w:val="00466FF6"/>
    <w:rsid w:val="0047734E"/>
    <w:rsid w:val="004845B4"/>
    <w:rsid w:val="00491334"/>
    <w:rsid w:val="00491EC2"/>
    <w:rsid w:val="004A173B"/>
    <w:rsid w:val="004A19AB"/>
    <w:rsid w:val="004A4CA9"/>
    <w:rsid w:val="004B680E"/>
    <w:rsid w:val="004B7356"/>
    <w:rsid w:val="004C2403"/>
    <w:rsid w:val="004C43DD"/>
    <w:rsid w:val="004C6F28"/>
    <w:rsid w:val="004E3FC7"/>
    <w:rsid w:val="004E5075"/>
    <w:rsid w:val="004E5277"/>
    <w:rsid w:val="004F24F5"/>
    <w:rsid w:val="004F2F36"/>
    <w:rsid w:val="004F5458"/>
    <w:rsid w:val="004F7C9F"/>
    <w:rsid w:val="00501599"/>
    <w:rsid w:val="00504837"/>
    <w:rsid w:val="00507F8B"/>
    <w:rsid w:val="00522EF2"/>
    <w:rsid w:val="00523169"/>
    <w:rsid w:val="0052380D"/>
    <w:rsid w:val="005254BD"/>
    <w:rsid w:val="0052630B"/>
    <w:rsid w:val="005263FF"/>
    <w:rsid w:val="0053451B"/>
    <w:rsid w:val="00536051"/>
    <w:rsid w:val="00541D96"/>
    <w:rsid w:val="00547BE2"/>
    <w:rsid w:val="005640CE"/>
    <w:rsid w:val="00565BF3"/>
    <w:rsid w:val="0056668B"/>
    <w:rsid w:val="00581A7E"/>
    <w:rsid w:val="00582B84"/>
    <w:rsid w:val="00587AAD"/>
    <w:rsid w:val="00592D70"/>
    <w:rsid w:val="00595573"/>
    <w:rsid w:val="005A2222"/>
    <w:rsid w:val="005A5F49"/>
    <w:rsid w:val="005B2F04"/>
    <w:rsid w:val="005B4676"/>
    <w:rsid w:val="005B4777"/>
    <w:rsid w:val="005C25ED"/>
    <w:rsid w:val="005E02D0"/>
    <w:rsid w:val="005E4E72"/>
    <w:rsid w:val="005E55C1"/>
    <w:rsid w:val="005E5E7A"/>
    <w:rsid w:val="005E7676"/>
    <w:rsid w:val="005F0855"/>
    <w:rsid w:val="005F214B"/>
    <w:rsid w:val="005F7C8B"/>
    <w:rsid w:val="00600BF3"/>
    <w:rsid w:val="0061698B"/>
    <w:rsid w:val="00622AB6"/>
    <w:rsid w:val="00631DBF"/>
    <w:rsid w:val="00657A5F"/>
    <w:rsid w:val="00661889"/>
    <w:rsid w:val="00663E6C"/>
    <w:rsid w:val="00675F3A"/>
    <w:rsid w:val="006831D7"/>
    <w:rsid w:val="00684353"/>
    <w:rsid w:val="0069071D"/>
    <w:rsid w:val="00691CB9"/>
    <w:rsid w:val="006A3F00"/>
    <w:rsid w:val="006B696B"/>
    <w:rsid w:val="006C695A"/>
    <w:rsid w:val="006D71EF"/>
    <w:rsid w:val="006F22ED"/>
    <w:rsid w:val="006F487F"/>
    <w:rsid w:val="00702A90"/>
    <w:rsid w:val="00706BF3"/>
    <w:rsid w:val="007417DC"/>
    <w:rsid w:val="0074447B"/>
    <w:rsid w:val="00765DD5"/>
    <w:rsid w:val="007667F3"/>
    <w:rsid w:val="007854EE"/>
    <w:rsid w:val="00792551"/>
    <w:rsid w:val="007928FF"/>
    <w:rsid w:val="007A769D"/>
    <w:rsid w:val="007B5715"/>
    <w:rsid w:val="007B6487"/>
    <w:rsid w:val="007C271A"/>
    <w:rsid w:val="007C2F01"/>
    <w:rsid w:val="007C61B8"/>
    <w:rsid w:val="007C6881"/>
    <w:rsid w:val="007D4F5F"/>
    <w:rsid w:val="007D700A"/>
    <w:rsid w:val="007F54BA"/>
    <w:rsid w:val="007F67E0"/>
    <w:rsid w:val="007F6B6A"/>
    <w:rsid w:val="00825D2C"/>
    <w:rsid w:val="00826A0E"/>
    <w:rsid w:val="0082774A"/>
    <w:rsid w:val="00830C07"/>
    <w:rsid w:val="008375FC"/>
    <w:rsid w:val="008401DD"/>
    <w:rsid w:val="00862080"/>
    <w:rsid w:val="00866986"/>
    <w:rsid w:val="008747CE"/>
    <w:rsid w:val="00877973"/>
    <w:rsid w:val="00880FAC"/>
    <w:rsid w:val="00884214"/>
    <w:rsid w:val="00887174"/>
    <w:rsid w:val="008A3081"/>
    <w:rsid w:val="008A47D8"/>
    <w:rsid w:val="008B239B"/>
    <w:rsid w:val="008B6939"/>
    <w:rsid w:val="008C2686"/>
    <w:rsid w:val="008D138F"/>
    <w:rsid w:val="008E33AB"/>
    <w:rsid w:val="008F0728"/>
    <w:rsid w:val="009020BE"/>
    <w:rsid w:val="00911AB1"/>
    <w:rsid w:val="00916DD8"/>
    <w:rsid w:val="00920F1D"/>
    <w:rsid w:val="00921D46"/>
    <w:rsid w:val="00925DAE"/>
    <w:rsid w:val="00931DAF"/>
    <w:rsid w:val="0093316D"/>
    <w:rsid w:val="009440C4"/>
    <w:rsid w:val="009468C5"/>
    <w:rsid w:val="00954D86"/>
    <w:rsid w:val="00956A72"/>
    <w:rsid w:val="00957E49"/>
    <w:rsid w:val="0098307B"/>
    <w:rsid w:val="00984D2D"/>
    <w:rsid w:val="0099101B"/>
    <w:rsid w:val="009A4644"/>
    <w:rsid w:val="009A4D02"/>
    <w:rsid w:val="009B39F2"/>
    <w:rsid w:val="009B5C14"/>
    <w:rsid w:val="009B7FB7"/>
    <w:rsid w:val="009C4975"/>
    <w:rsid w:val="009D1286"/>
    <w:rsid w:val="009D68FB"/>
    <w:rsid w:val="009E4588"/>
    <w:rsid w:val="009E5A85"/>
    <w:rsid w:val="00A03DA4"/>
    <w:rsid w:val="00A14238"/>
    <w:rsid w:val="00A20D82"/>
    <w:rsid w:val="00A25EFA"/>
    <w:rsid w:val="00A375F4"/>
    <w:rsid w:val="00A42F1C"/>
    <w:rsid w:val="00A43A25"/>
    <w:rsid w:val="00A5152E"/>
    <w:rsid w:val="00A53B9D"/>
    <w:rsid w:val="00A54B02"/>
    <w:rsid w:val="00A63B70"/>
    <w:rsid w:val="00A729E3"/>
    <w:rsid w:val="00A77FE1"/>
    <w:rsid w:val="00A853C7"/>
    <w:rsid w:val="00A907D6"/>
    <w:rsid w:val="00A92736"/>
    <w:rsid w:val="00A9394D"/>
    <w:rsid w:val="00A93BD4"/>
    <w:rsid w:val="00A940F3"/>
    <w:rsid w:val="00A9436C"/>
    <w:rsid w:val="00AA0483"/>
    <w:rsid w:val="00AB3AE4"/>
    <w:rsid w:val="00AB637F"/>
    <w:rsid w:val="00AC00D5"/>
    <w:rsid w:val="00AC433D"/>
    <w:rsid w:val="00AD5ADE"/>
    <w:rsid w:val="00AD625E"/>
    <w:rsid w:val="00AF66F2"/>
    <w:rsid w:val="00B13128"/>
    <w:rsid w:val="00B1456A"/>
    <w:rsid w:val="00B319CE"/>
    <w:rsid w:val="00B35B56"/>
    <w:rsid w:val="00B37116"/>
    <w:rsid w:val="00B62018"/>
    <w:rsid w:val="00B640D5"/>
    <w:rsid w:val="00B66207"/>
    <w:rsid w:val="00B66D16"/>
    <w:rsid w:val="00B824B7"/>
    <w:rsid w:val="00B832E7"/>
    <w:rsid w:val="00B942D7"/>
    <w:rsid w:val="00B9698F"/>
    <w:rsid w:val="00B97DD8"/>
    <w:rsid w:val="00BA3B85"/>
    <w:rsid w:val="00BA7EF7"/>
    <w:rsid w:val="00BC1C9B"/>
    <w:rsid w:val="00BC3CE4"/>
    <w:rsid w:val="00BC77C8"/>
    <w:rsid w:val="00BD0200"/>
    <w:rsid w:val="00BD0214"/>
    <w:rsid w:val="00BD256A"/>
    <w:rsid w:val="00BE23B1"/>
    <w:rsid w:val="00BF3D7E"/>
    <w:rsid w:val="00BF5E39"/>
    <w:rsid w:val="00BF77E7"/>
    <w:rsid w:val="00C02475"/>
    <w:rsid w:val="00C05BAE"/>
    <w:rsid w:val="00C06497"/>
    <w:rsid w:val="00C10243"/>
    <w:rsid w:val="00C124D2"/>
    <w:rsid w:val="00C125B5"/>
    <w:rsid w:val="00C20FB7"/>
    <w:rsid w:val="00C24D56"/>
    <w:rsid w:val="00C419CE"/>
    <w:rsid w:val="00C53C9E"/>
    <w:rsid w:val="00C63459"/>
    <w:rsid w:val="00C6349A"/>
    <w:rsid w:val="00C64533"/>
    <w:rsid w:val="00C67316"/>
    <w:rsid w:val="00C7190C"/>
    <w:rsid w:val="00C76812"/>
    <w:rsid w:val="00C8161B"/>
    <w:rsid w:val="00C81D6D"/>
    <w:rsid w:val="00C8263A"/>
    <w:rsid w:val="00C832B9"/>
    <w:rsid w:val="00C90775"/>
    <w:rsid w:val="00C90C57"/>
    <w:rsid w:val="00C96DBD"/>
    <w:rsid w:val="00CB72C7"/>
    <w:rsid w:val="00CC3C7E"/>
    <w:rsid w:val="00CC61F9"/>
    <w:rsid w:val="00CC6637"/>
    <w:rsid w:val="00CD5399"/>
    <w:rsid w:val="00CE118A"/>
    <w:rsid w:val="00CE762E"/>
    <w:rsid w:val="00CF4977"/>
    <w:rsid w:val="00CF669A"/>
    <w:rsid w:val="00CF7387"/>
    <w:rsid w:val="00D037AC"/>
    <w:rsid w:val="00D07D4F"/>
    <w:rsid w:val="00D12A89"/>
    <w:rsid w:val="00D37E8D"/>
    <w:rsid w:val="00D37F9D"/>
    <w:rsid w:val="00D4450C"/>
    <w:rsid w:val="00D44AC6"/>
    <w:rsid w:val="00D4652F"/>
    <w:rsid w:val="00D52E68"/>
    <w:rsid w:val="00D53593"/>
    <w:rsid w:val="00D608D9"/>
    <w:rsid w:val="00D61F84"/>
    <w:rsid w:val="00D63E85"/>
    <w:rsid w:val="00D76047"/>
    <w:rsid w:val="00D76E7D"/>
    <w:rsid w:val="00D77477"/>
    <w:rsid w:val="00D81B1B"/>
    <w:rsid w:val="00D907D6"/>
    <w:rsid w:val="00D9525E"/>
    <w:rsid w:val="00DA7955"/>
    <w:rsid w:val="00DB72A7"/>
    <w:rsid w:val="00DC4CE9"/>
    <w:rsid w:val="00DD0912"/>
    <w:rsid w:val="00DD3AF0"/>
    <w:rsid w:val="00DE5527"/>
    <w:rsid w:val="00DF07A1"/>
    <w:rsid w:val="00DF2B66"/>
    <w:rsid w:val="00E00253"/>
    <w:rsid w:val="00E0086A"/>
    <w:rsid w:val="00E0254C"/>
    <w:rsid w:val="00E106FC"/>
    <w:rsid w:val="00E130CA"/>
    <w:rsid w:val="00E13A39"/>
    <w:rsid w:val="00E15C36"/>
    <w:rsid w:val="00E251B4"/>
    <w:rsid w:val="00E26990"/>
    <w:rsid w:val="00E319B2"/>
    <w:rsid w:val="00E36DB5"/>
    <w:rsid w:val="00E5034D"/>
    <w:rsid w:val="00E56EB4"/>
    <w:rsid w:val="00E603D5"/>
    <w:rsid w:val="00E622A9"/>
    <w:rsid w:val="00E674E6"/>
    <w:rsid w:val="00E72EA3"/>
    <w:rsid w:val="00E751CA"/>
    <w:rsid w:val="00E82D72"/>
    <w:rsid w:val="00E91EE5"/>
    <w:rsid w:val="00E94990"/>
    <w:rsid w:val="00EA2CAF"/>
    <w:rsid w:val="00EC555E"/>
    <w:rsid w:val="00ED0160"/>
    <w:rsid w:val="00ED08B2"/>
    <w:rsid w:val="00F0763F"/>
    <w:rsid w:val="00F076AA"/>
    <w:rsid w:val="00F11A24"/>
    <w:rsid w:val="00F14751"/>
    <w:rsid w:val="00F51080"/>
    <w:rsid w:val="00F61F01"/>
    <w:rsid w:val="00F64840"/>
    <w:rsid w:val="00F6568E"/>
    <w:rsid w:val="00F736B3"/>
    <w:rsid w:val="00F755AA"/>
    <w:rsid w:val="00F808E6"/>
    <w:rsid w:val="00F93578"/>
    <w:rsid w:val="00F9477C"/>
    <w:rsid w:val="00F97089"/>
    <w:rsid w:val="00F97B65"/>
    <w:rsid w:val="00FA23B2"/>
    <w:rsid w:val="00FC206E"/>
    <w:rsid w:val="00FC5740"/>
    <w:rsid w:val="00FE1567"/>
    <w:rsid w:val="00FF1749"/>
    <w:rsid w:val="00FF2878"/>
    <w:rsid w:val="00FF72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E68"/>
  </w:style>
  <w:style w:type="paragraph" w:styleId="Ttulo1">
    <w:name w:val="heading 1"/>
    <w:basedOn w:val="Normal"/>
    <w:next w:val="Normal"/>
    <w:qFormat/>
    <w:rsid w:val="00D52E68"/>
    <w:pPr>
      <w:keepNext/>
      <w:outlineLvl w:val="0"/>
    </w:pPr>
    <w:rPr>
      <w:rFonts w:ascii="Century Gothic" w:hAnsi="Century Gothic"/>
      <w:b/>
      <w:sz w:val="22"/>
    </w:rPr>
  </w:style>
  <w:style w:type="paragraph" w:styleId="Ttulo2">
    <w:name w:val="heading 2"/>
    <w:basedOn w:val="Normal"/>
    <w:next w:val="Normal"/>
    <w:qFormat/>
    <w:rsid w:val="00D52E68"/>
    <w:pPr>
      <w:keepNext/>
      <w:outlineLvl w:val="1"/>
    </w:pPr>
    <w:rPr>
      <w:rFonts w:ascii="Century Gothic" w:hAnsi="Century Gothic"/>
      <w:b/>
    </w:rPr>
  </w:style>
  <w:style w:type="paragraph" w:styleId="Ttulo3">
    <w:name w:val="heading 3"/>
    <w:basedOn w:val="Normal"/>
    <w:next w:val="Normal"/>
    <w:qFormat/>
    <w:rsid w:val="00D52E68"/>
    <w:pPr>
      <w:keepNext/>
      <w:jc w:val="center"/>
      <w:outlineLvl w:val="2"/>
    </w:pPr>
    <w:rPr>
      <w:rFonts w:ascii="Century Gothic" w:hAnsi="Century Gothic"/>
      <w:b/>
      <w:sz w:val="18"/>
    </w:rPr>
  </w:style>
  <w:style w:type="paragraph" w:styleId="Ttulo4">
    <w:name w:val="heading 4"/>
    <w:basedOn w:val="Normal"/>
    <w:next w:val="Normal"/>
    <w:qFormat/>
    <w:rsid w:val="00D52E68"/>
    <w:pPr>
      <w:keepNext/>
      <w:jc w:val="center"/>
      <w:outlineLvl w:val="3"/>
    </w:pPr>
    <w:rPr>
      <w:rFonts w:ascii="Century Gothic" w:hAnsi="Century Gothic"/>
      <w:b/>
    </w:rPr>
  </w:style>
  <w:style w:type="paragraph" w:styleId="Ttulo5">
    <w:name w:val="heading 5"/>
    <w:basedOn w:val="Normal"/>
    <w:next w:val="Normal"/>
    <w:qFormat/>
    <w:rsid w:val="00D52E68"/>
    <w:pPr>
      <w:keepNext/>
      <w:jc w:val="center"/>
      <w:outlineLvl w:val="4"/>
    </w:pPr>
    <w:rPr>
      <w:rFonts w:ascii="Arial" w:hAnsi="Arial"/>
      <w:b/>
      <w:sz w:val="14"/>
    </w:rPr>
  </w:style>
  <w:style w:type="paragraph" w:styleId="Ttulo6">
    <w:name w:val="heading 6"/>
    <w:basedOn w:val="Normal"/>
    <w:next w:val="Normal"/>
    <w:qFormat/>
    <w:rsid w:val="00D52E68"/>
    <w:pPr>
      <w:keepNext/>
      <w:jc w:val="center"/>
      <w:outlineLvl w:val="5"/>
    </w:pPr>
    <w:rPr>
      <w:rFonts w:ascii="Arial" w:hAnsi="Arial"/>
      <w:b/>
      <w:sz w:val="22"/>
    </w:rPr>
  </w:style>
  <w:style w:type="paragraph" w:styleId="Ttulo7">
    <w:name w:val="heading 7"/>
    <w:basedOn w:val="Normal"/>
    <w:next w:val="Normal"/>
    <w:qFormat/>
    <w:rsid w:val="00D52E68"/>
    <w:pPr>
      <w:keepNext/>
      <w:jc w:val="center"/>
      <w:outlineLvl w:val="6"/>
    </w:pPr>
    <w:rPr>
      <w:rFonts w:ascii="Arial" w:hAnsi="Arial"/>
      <w:b/>
      <w:sz w:val="1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rsid w:val="00D52E68"/>
    <w:pPr>
      <w:jc w:val="center"/>
    </w:pPr>
    <w:rPr>
      <w:rFonts w:ascii="Century Gothic" w:hAnsi="Century Gothic"/>
      <w:b/>
      <w:sz w:val="22"/>
    </w:rPr>
  </w:style>
  <w:style w:type="paragraph" w:styleId="Corpodetexto">
    <w:name w:val="Body Text"/>
    <w:basedOn w:val="Normal"/>
    <w:rsid w:val="00D52E68"/>
    <w:pPr>
      <w:jc w:val="both"/>
    </w:pPr>
    <w:rPr>
      <w:rFonts w:ascii="Century Gothic" w:hAnsi="Century Gothic"/>
    </w:rPr>
  </w:style>
  <w:style w:type="paragraph" w:styleId="Cabealho">
    <w:name w:val="header"/>
    <w:basedOn w:val="Normal"/>
    <w:rsid w:val="00D52E68"/>
    <w:pPr>
      <w:tabs>
        <w:tab w:val="center" w:pos="4419"/>
        <w:tab w:val="right" w:pos="8838"/>
      </w:tabs>
    </w:pPr>
  </w:style>
  <w:style w:type="paragraph" w:styleId="Rodap">
    <w:name w:val="footer"/>
    <w:basedOn w:val="Normal"/>
    <w:rsid w:val="00D52E68"/>
    <w:pPr>
      <w:tabs>
        <w:tab w:val="center" w:pos="4419"/>
        <w:tab w:val="right" w:pos="8838"/>
      </w:tabs>
    </w:pPr>
  </w:style>
  <w:style w:type="paragraph" w:styleId="Recuodecorpodetexto">
    <w:name w:val="Body Text Indent"/>
    <w:basedOn w:val="Normal"/>
    <w:rsid w:val="00D52E68"/>
    <w:pPr>
      <w:ind w:firstLine="708"/>
      <w:jc w:val="both"/>
    </w:pPr>
    <w:rPr>
      <w:rFonts w:ascii="Arial" w:hAnsi="Arial"/>
      <w:color w:val="FF0000"/>
      <w:sz w:val="22"/>
    </w:rPr>
  </w:style>
  <w:style w:type="paragraph" w:styleId="Subttulo">
    <w:name w:val="Subtitle"/>
    <w:basedOn w:val="Normal"/>
    <w:qFormat/>
    <w:rsid w:val="00D52E68"/>
    <w:pPr>
      <w:jc w:val="both"/>
    </w:pPr>
    <w:rPr>
      <w:rFonts w:ascii="Arial" w:hAnsi="Arial"/>
      <w:b/>
      <w:sz w:val="22"/>
    </w:rPr>
  </w:style>
  <w:style w:type="paragraph" w:customStyle="1" w:styleId="NmerosN1">
    <w:name w:val="Números N1"/>
    <w:basedOn w:val="Normal"/>
    <w:autoRedefine/>
    <w:rsid w:val="00D52E68"/>
    <w:pPr>
      <w:snapToGrid w:val="0"/>
      <w:spacing w:line="360" w:lineRule="auto"/>
      <w:ind w:left="284"/>
      <w:jc w:val="both"/>
    </w:pPr>
    <w:rPr>
      <w:rFonts w:ascii="Arial" w:hAnsi="Arial"/>
      <w:sz w:val="22"/>
    </w:rPr>
  </w:style>
  <w:style w:type="paragraph" w:styleId="MapadoDocumento">
    <w:name w:val="Document Map"/>
    <w:basedOn w:val="Normal"/>
    <w:semiHidden/>
    <w:rsid w:val="00D52E68"/>
    <w:pPr>
      <w:shd w:val="clear" w:color="auto" w:fill="000080"/>
    </w:pPr>
    <w:rPr>
      <w:rFonts w:ascii="Tahoma" w:hAnsi="Tahoma" w:cs="Tahoma"/>
    </w:rPr>
  </w:style>
  <w:style w:type="paragraph" w:styleId="Textodebalo">
    <w:name w:val="Balloon Text"/>
    <w:basedOn w:val="Normal"/>
    <w:semiHidden/>
    <w:rsid w:val="00D52E68"/>
    <w:rPr>
      <w:rFonts w:ascii="Tahoma" w:hAnsi="Tahoma" w:cs="Tahoma"/>
      <w:sz w:val="16"/>
      <w:szCs w:val="16"/>
    </w:rPr>
  </w:style>
  <w:style w:type="paragraph" w:styleId="Textodenotaderodap">
    <w:name w:val="footnote text"/>
    <w:basedOn w:val="Normal"/>
    <w:link w:val="TextodenotaderodapChar"/>
    <w:rsid w:val="00B319CE"/>
    <w:rPr>
      <w:rFonts w:ascii="Georgia" w:hAnsi="Georgia"/>
      <w:color w:val="000000"/>
    </w:rPr>
  </w:style>
  <w:style w:type="character" w:customStyle="1" w:styleId="TextodenotaderodapChar">
    <w:name w:val="Texto de nota de rodapé Char"/>
    <w:link w:val="Textodenotaderodap"/>
    <w:rsid w:val="00B319CE"/>
    <w:rPr>
      <w:rFonts w:ascii="Georgia" w:hAnsi="Georgia"/>
      <w:color w:val="000000"/>
    </w:rPr>
  </w:style>
  <w:style w:type="character" w:styleId="Refdenotaderodap">
    <w:name w:val="footnote reference"/>
    <w:rsid w:val="00B319C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675024">
      <w:bodyDiv w:val="1"/>
      <w:marLeft w:val="0"/>
      <w:marRight w:val="0"/>
      <w:marTop w:val="0"/>
      <w:marBottom w:val="0"/>
      <w:divBdr>
        <w:top w:val="none" w:sz="0" w:space="0" w:color="auto"/>
        <w:left w:val="none" w:sz="0" w:space="0" w:color="auto"/>
        <w:bottom w:val="none" w:sz="0" w:space="0" w:color="auto"/>
        <w:right w:val="none" w:sz="0" w:space="0" w:color="auto"/>
      </w:divBdr>
    </w:div>
    <w:div w:id="544293600">
      <w:bodyDiv w:val="1"/>
      <w:marLeft w:val="0"/>
      <w:marRight w:val="0"/>
      <w:marTop w:val="0"/>
      <w:marBottom w:val="0"/>
      <w:divBdr>
        <w:top w:val="none" w:sz="0" w:space="0" w:color="auto"/>
        <w:left w:val="none" w:sz="0" w:space="0" w:color="auto"/>
        <w:bottom w:val="none" w:sz="0" w:space="0" w:color="auto"/>
        <w:right w:val="none" w:sz="0" w:space="0" w:color="auto"/>
      </w:divBdr>
    </w:div>
    <w:div w:id="575631851">
      <w:bodyDiv w:val="1"/>
      <w:marLeft w:val="0"/>
      <w:marRight w:val="0"/>
      <w:marTop w:val="0"/>
      <w:marBottom w:val="0"/>
      <w:divBdr>
        <w:top w:val="none" w:sz="0" w:space="0" w:color="auto"/>
        <w:left w:val="none" w:sz="0" w:space="0" w:color="auto"/>
        <w:bottom w:val="none" w:sz="0" w:space="0" w:color="auto"/>
        <w:right w:val="none" w:sz="0" w:space="0" w:color="auto"/>
      </w:divBdr>
    </w:div>
    <w:div w:id="642388696">
      <w:bodyDiv w:val="1"/>
      <w:marLeft w:val="0"/>
      <w:marRight w:val="0"/>
      <w:marTop w:val="0"/>
      <w:marBottom w:val="0"/>
      <w:divBdr>
        <w:top w:val="none" w:sz="0" w:space="0" w:color="auto"/>
        <w:left w:val="none" w:sz="0" w:space="0" w:color="auto"/>
        <w:bottom w:val="none" w:sz="0" w:space="0" w:color="auto"/>
        <w:right w:val="none" w:sz="0" w:space="0" w:color="auto"/>
      </w:divBdr>
    </w:div>
    <w:div w:id="649097622">
      <w:bodyDiv w:val="1"/>
      <w:marLeft w:val="0"/>
      <w:marRight w:val="0"/>
      <w:marTop w:val="0"/>
      <w:marBottom w:val="0"/>
      <w:divBdr>
        <w:top w:val="none" w:sz="0" w:space="0" w:color="auto"/>
        <w:left w:val="none" w:sz="0" w:space="0" w:color="auto"/>
        <w:bottom w:val="none" w:sz="0" w:space="0" w:color="auto"/>
        <w:right w:val="none" w:sz="0" w:space="0" w:color="auto"/>
      </w:divBdr>
    </w:div>
    <w:div w:id="665133162">
      <w:bodyDiv w:val="1"/>
      <w:marLeft w:val="0"/>
      <w:marRight w:val="0"/>
      <w:marTop w:val="0"/>
      <w:marBottom w:val="0"/>
      <w:divBdr>
        <w:top w:val="none" w:sz="0" w:space="0" w:color="auto"/>
        <w:left w:val="none" w:sz="0" w:space="0" w:color="auto"/>
        <w:bottom w:val="none" w:sz="0" w:space="0" w:color="auto"/>
        <w:right w:val="none" w:sz="0" w:space="0" w:color="auto"/>
      </w:divBdr>
    </w:div>
    <w:div w:id="976689309">
      <w:bodyDiv w:val="1"/>
      <w:marLeft w:val="0"/>
      <w:marRight w:val="0"/>
      <w:marTop w:val="0"/>
      <w:marBottom w:val="0"/>
      <w:divBdr>
        <w:top w:val="none" w:sz="0" w:space="0" w:color="auto"/>
        <w:left w:val="none" w:sz="0" w:space="0" w:color="auto"/>
        <w:bottom w:val="none" w:sz="0" w:space="0" w:color="auto"/>
        <w:right w:val="none" w:sz="0" w:space="0" w:color="auto"/>
      </w:divBdr>
    </w:div>
    <w:div w:id="1006445587">
      <w:bodyDiv w:val="1"/>
      <w:marLeft w:val="0"/>
      <w:marRight w:val="0"/>
      <w:marTop w:val="0"/>
      <w:marBottom w:val="0"/>
      <w:divBdr>
        <w:top w:val="none" w:sz="0" w:space="0" w:color="auto"/>
        <w:left w:val="none" w:sz="0" w:space="0" w:color="auto"/>
        <w:bottom w:val="none" w:sz="0" w:space="0" w:color="auto"/>
        <w:right w:val="none" w:sz="0" w:space="0" w:color="auto"/>
      </w:divBdr>
    </w:div>
    <w:div w:id="1120488623">
      <w:bodyDiv w:val="1"/>
      <w:marLeft w:val="0"/>
      <w:marRight w:val="0"/>
      <w:marTop w:val="0"/>
      <w:marBottom w:val="0"/>
      <w:divBdr>
        <w:top w:val="none" w:sz="0" w:space="0" w:color="auto"/>
        <w:left w:val="none" w:sz="0" w:space="0" w:color="auto"/>
        <w:bottom w:val="none" w:sz="0" w:space="0" w:color="auto"/>
        <w:right w:val="none" w:sz="0" w:space="0" w:color="auto"/>
      </w:divBdr>
    </w:div>
    <w:div w:id="1176771563">
      <w:bodyDiv w:val="1"/>
      <w:marLeft w:val="0"/>
      <w:marRight w:val="0"/>
      <w:marTop w:val="0"/>
      <w:marBottom w:val="0"/>
      <w:divBdr>
        <w:top w:val="none" w:sz="0" w:space="0" w:color="auto"/>
        <w:left w:val="none" w:sz="0" w:space="0" w:color="auto"/>
        <w:bottom w:val="none" w:sz="0" w:space="0" w:color="auto"/>
        <w:right w:val="none" w:sz="0" w:space="0" w:color="auto"/>
      </w:divBdr>
    </w:div>
    <w:div w:id="1462073685">
      <w:bodyDiv w:val="1"/>
      <w:marLeft w:val="0"/>
      <w:marRight w:val="0"/>
      <w:marTop w:val="0"/>
      <w:marBottom w:val="0"/>
      <w:divBdr>
        <w:top w:val="none" w:sz="0" w:space="0" w:color="auto"/>
        <w:left w:val="none" w:sz="0" w:space="0" w:color="auto"/>
        <w:bottom w:val="none" w:sz="0" w:space="0" w:color="auto"/>
        <w:right w:val="none" w:sz="0" w:space="0" w:color="auto"/>
      </w:divBdr>
    </w:div>
    <w:div w:id="1496991875">
      <w:bodyDiv w:val="1"/>
      <w:marLeft w:val="0"/>
      <w:marRight w:val="0"/>
      <w:marTop w:val="0"/>
      <w:marBottom w:val="0"/>
      <w:divBdr>
        <w:top w:val="none" w:sz="0" w:space="0" w:color="auto"/>
        <w:left w:val="none" w:sz="0" w:space="0" w:color="auto"/>
        <w:bottom w:val="none" w:sz="0" w:space="0" w:color="auto"/>
        <w:right w:val="none" w:sz="0" w:space="0" w:color="auto"/>
      </w:divBdr>
    </w:div>
    <w:div w:id="1504130149">
      <w:bodyDiv w:val="1"/>
      <w:marLeft w:val="0"/>
      <w:marRight w:val="0"/>
      <w:marTop w:val="0"/>
      <w:marBottom w:val="0"/>
      <w:divBdr>
        <w:top w:val="none" w:sz="0" w:space="0" w:color="auto"/>
        <w:left w:val="none" w:sz="0" w:space="0" w:color="auto"/>
        <w:bottom w:val="none" w:sz="0" w:space="0" w:color="auto"/>
        <w:right w:val="none" w:sz="0" w:space="0" w:color="auto"/>
      </w:divBdr>
    </w:div>
    <w:div w:id="1687900709">
      <w:bodyDiv w:val="1"/>
      <w:marLeft w:val="0"/>
      <w:marRight w:val="0"/>
      <w:marTop w:val="0"/>
      <w:marBottom w:val="0"/>
      <w:divBdr>
        <w:top w:val="none" w:sz="0" w:space="0" w:color="auto"/>
        <w:left w:val="none" w:sz="0" w:space="0" w:color="auto"/>
        <w:bottom w:val="none" w:sz="0" w:space="0" w:color="auto"/>
        <w:right w:val="none" w:sz="0" w:space="0" w:color="auto"/>
      </w:divBdr>
    </w:div>
    <w:div w:id="1711107800">
      <w:bodyDiv w:val="1"/>
      <w:marLeft w:val="0"/>
      <w:marRight w:val="0"/>
      <w:marTop w:val="0"/>
      <w:marBottom w:val="0"/>
      <w:divBdr>
        <w:top w:val="none" w:sz="0" w:space="0" w:color="auto"/>
        <w:left w:val="none" w:sz="0" w:space="0" w:color="auto"/>
        <w:bottom w:val="none" w:sz="0" w:space="0" w:color="auto"/>
        <w:right w:val="none" w:sz="0" w:space="0" w:color="auto"/>
      </w:divBdr>
    </w:div>
    <w:div w:id="198412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5" Type="http://schemas.openxmlformats.org/officeDocument/2006/relationships/settings" Target="settings.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B7330-05F6-4D22-8494-7A4862F50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1592</Words>
  <Characters>8602</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DE MONSTRATIVO Nº 6</vt:lpstr>
    </vt:vector>
  </TitlesOfParts>
  <Company>SMF-PCRJ</Company>
  <LinksUpToDate>false</LinksUpToDate>
  <CharactersWithSpaces>10174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MONSTRATIVO Nº 6</dc:title>
  <dc:creator>Coordenadoria de Informática</dc:creator>
  <cp:lastModifiedBy>Manuel Abraham Napoles Tibeau</cp:lastModifiedBy>
  <cp:revision>12</cp:revision>
  <cp:lastPrinted>2013-09-24T18:57:00Z</cp:lastPrinted>
  <dcterms:created xsi:type="dcterms:W3CDTF">2016-09-20T18:59:00Z</dcterms:created>
  <dcterms:modified xsi:type="dcterms:W3CDTF">2016-09-23T15:02:00Z</dcterms:modified>
</cp:coreProperties>
</file>